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B4C" w14:textId="3ED8F23D" w:rsidR="00135EB1" w:rsidRDefault="00135EB1" w:rsidP="00135EB1">
      <w:pPr>
        <w:spacing w:before="120" w:after="120" w:line="240" w:lineRule="auto"/>
        <w:rPr>
          <w:rFonts w:eastAsia="Calibri" w:cstheme="minorHAnsi"/>
          <w:color w:val="000000" w:themeColor="text1"/>
          <w:sz w:val="24"/>
          <w:szCs w:val="24"/>
        </w:rPr>
      </w:pPr>
      <w:r w:rsidRPr="001031C3">
        <w:rPr>
          <w:rFonts w:eastAsia="Calibri" w:cstheme="minorHAnsi"/>
          <w:color w:val="000000" w:themeColor="text1"/>
          <w:sz w:val="24"/>
          <w:szCs w:val="24"/>
        </w:rPr>
        <w:t xml:space="preserve">The Commission on Teacher Credentialing has illustrated changes to the original text in the following manner: text originally proposed to be added is </w:t>
      </w:r>
      <w:r w:rsidRPr="001031C3">
        <w:rPr>
          <w:rFonts w:eastAsia="Calibri" w:cstheme="minorHAnsi"/>
          <w:color w:val="000000" w:themeColor="text1"/>
          <w:sz w:val="24"/>
          <w:szCs w:val="24"/>
          <w:u w:val="single"/>
        </w:rPr>
        <w:t>underlined</w:t>
      </w:r>
      <w:r w:rsidRPr="001031C3">
        <w:rPr>
          <w:rFonts w:eastAsia="Calibri" w:cstheme="minorHAnsi"/>
          <w:color w:val="000000" w:themeColor="text1"/>
          <w:sz w:val="24"/>
          <w:szCs w:val="24"/>
        </w:rPr>
        <w:t xml:space="preserve">; text proposed to be deleted is displayed in </w:t>
      </w:r>
      <w:r w:rsidRPr="001031C3">
        <w:rPr>
          <w:rFonts w:eastAsia="Calibri" w:cstheme="minorHAnsi"/>
          <w:strike/>
          <w:color w:val="000000" w:themeColor="text1"/>
          <w:sz w:val="24"/>
          <w:szCs w:val="24"/>
        </w:rPr>
        <w:t>strikeout</w:t>
      </w:r>
      <w:r w:rsidRPr="001031C3">
        <w:rPr>
          <w:rFonts w:eastAsia="Calibri" w:cstheme="minorHAnsi"/>
          <w:color w:val="000000" w:themeColor="text1"/>
          <w:sz w:val="24"/>
          <w:szCs w:val="24"/>
        </w:rPr>
        <w:t xml:space="preserve">. Text proposed to be deleted in this notice is shown in </w:t>
      </w:r>
      <w:r w:rsidRPr="001031C3">
        <w:rPr>
          <w:rFonts w:eastAsia="Calibri" w:cstheme="minorHAnsi"/>
          <w:dstrike/>
          <w:color w:val="000000" w:themeColor="text1"/>
          <w:sz w:val="24"/>
          <w:szCs w:val="24"/>
        </w:rPr>
        <w:t>double strikethrough</w:t>
      </w:r>
      <w:r w:rsidRPr="001031C3">
        <w:rPr>
          <w:rFonts w:eastAsia="Calibri" w:cstheme="minorHAnsi"/>
          <w:color w:val="000000" w:themeColor="text1"/>
          <w:sz w:val="24"/>
          <w:szCs w:val="24"/>
        </w:rPr>
        <w:t xml:space="preserve">; text proposed to be added is shown in </w:t>
      </w:r>
      <w:r w:rsidRPr="001031C3">
        <w:rPr>
          <w:rFonts w:eastAsia="Calibri" w:cstheme="minorHAnsi"/>
          <w:color w:val="000000" w:themeColor="text1"/>
          <w:sz w:val="24"/>
          <w:szCs w:val="24"/>
          <w:u w:val="double"/>
        </w:rPr>
        <w:t>double underline</w:t>
      </w:r>
      <w:r w:rsidRPr="001031C3">
        <w:rPr>
          <w:rFonts w:eastAsia="Calibri" w:cstheme="minorHAnsi"/>
          <w:color w:val="000000" w:themeColor="text1"/>
          <w:sz w:val="24"/>
          <w:szCs w:val="24"/>
        </w:rPr>
        <w:t>.</w:t>
      </w:r>
    </w:p>
    <w:p w14:paraId="143FBA7E" w14:textId="77777777" w:rsidR="009403DF" w:rsidRPr="00135EB1" w:rsidRDefault="009403DF" w:rsidP="00135EB1">
      <w:pPr>
        <w:spacing w:before="120" w:after="120" w:line="240" w:lineRule="auto"/>
        <w:rPr>
          <w:rFonts w:eastAsia="Calibri" w:cstheme="minorHAnsi"/>
          <w:color w:val="000000" w:themeColor="text1"/>
          <w:sz w:val="24"/>
          <w:szCs w:val="24"/>
        </w:rPr>
      </w:pPr>
    </w:p>
    <w:p w14:paraId="0F8876DA" w14:textId="0C42A615" w:rsidR="004A5B7F" w:rsidRPr="00C2068D" w:rsidRDefault="004A5B7F" w:rsidP="00687CE6">
      <w:pPr>
        <w:pStyle w:val="Heading1"/>
        <w:rPr>
          <w:sz w:val="28"/>
          <w:szCs w:val="28"/>
        </w:rPr>
      </w:pPr>
      <w:r w:rsidRPr="00C2068D">
        <w:rPr>
          <w:sz w:val="28"/>
          <w:szCs w:val="28"/>
        </w:rPr>
        <w:t xml:space="preserve">15-Day Notice of Modifications and Supplemental Justification to Proposed Rulemaking: Title 5. Education, Division 8 Commission on Teacher Credentialing </w:t>
      </w:r>
    </w:p>
    <w:p w14:paraId="01445447" w14:textId="77777777" w:rsidR="004A5B7F" w:rsidRPr="001031C3" w:rsidRDefault="004A5B7F" w:rsidP="00687CE6">
      <w:pPr>
        <w:spacing w:line="240" w:lineRule="auto"/>
        <w:rPr>
          <w:rFonts w:cstheme="minorHAnsi"/>
          <w:sz w:val="24"/>
          <w:szCs w:val="24"/>
        </w:rPr>
      </w:pPr>
    </w:p>
    <w:p w14:paraId="3AC1825B" w14:textId="77777777" w:rsidR="004A5B7F" w:rsidRPr="001031C3" w:rsidRDefault="004A5B7F" w:rsidP="00687CE6">
      <w:pPr>
        <w:pStyle w:val="Heading2"/>
        <w:rPr>
          <w:rFonts w:asciiTheme="minorHAnsi" w:hAnsiTheme="minorHAnsi" w:cstheme="minorHAnsi"/>
          <w:sz w:val="24"/>
          <w:szCs w:val="24"/>
        </w:rPr>
      </w:pPr>
      <w:r w:rsidRPr="001031C3">
        <w:rPr>
          <w:rFonts w:asciiTheme="minorHAnsi" w:hAnsiTheme="minorHAnsi" w:cstheme="minorHAnsi"/>
          <w:sz w:val="24"/>
          <w:szCs w:val="24"/>
        </w:rPr>
        <w:t>Supplemental Justification and Modifications for Proposed Amendments to California Code of Regulations, Title 5, Pertaining to Subject Matter Competency</w:t>
      </w:r>
    </w:p>
    <w:p w14:paraId="3561DB6B" w14:textId="5B5A8587" w:rsidR="004A5B7F" w:rsidRPr="001031C3" w:rsidRDefault="004A5B7F" w:rsidP="00687CE6">
      <w:pPr>
        <w:pStyle w:val="Heading2"/>
        <w:rPr>
          <w:rFonts w:asciiTheme="minorHAnsi" w:hAnsiTheme="minorHAnsi" w:cstheme="minorHAnsi"/>
          <w:sz w:val="24"/>
          <w:szCs w:val="24"/>
        </w:rPr>
      </w:pPr>
      <w:r w:rsidRPr="001031C3">
        <w:rPr>
          <w:rFonts w:asciiTheme="minorHAnsi" w:hAnsiTheme="minorHAnsi" w:cstheme="minorHAnsi"/>
          <w:sz w:val="24"/>
          <w:szCs w:val="24"/>
        </w:rPr>
        <w:t xml:space="preserve"> </w:t>
      </w:r>
    </w:p>
    <w:p w14:paraId="71FEFADC" w14:textId="1182A6B7" w:rsidR="001D1C7F" w:rsidRDefault="001D1C7F" w:rsidP="00687CE6">
      <w:pPr>
        <w:pStyle w:val="Default"/>
        <w:rPr>
          <w:rFonts w:asciiTheme="minorHAnsi" w:hAnsiTheme="minorHAnsi" w:cstheme="minorHAnsi"/>
        </w:rPr>
      </w:pPr>
      <w:r w:rsidRPr="001031C3">
        <w:rPr>
          <w:rFonts w:asciiTheme="minorHAnsi" w:hAnsiTheme="minorHAnsi" w:cstheme="minorHAnsi"/>
        </w:rPr>
        <w:t xml:space="preserve">The Commission on Teacher Credentialing (Commission) conducted a public hearing on December 9, </w:t>
      </w:r>
      <w:proofErr w:type="gramStart"/>
      <w:r w:rsidRPr="001031C3">
        <w:rPr>
          <w:rFonts w:asciiTheme="minorHAnsi" w:hAnsiTheme="minorHAnsi" w:cstheme="minorHAnsi"/>
        </w:rPr>
        <w:t>2022</w:t>
      </w:r>
      <w:proofErr w:type="gramEnd"/>
      <w:r w:rsidRPr="001031C3">
        <w:rPr>
          <w:rFonts w:asciiTheme="minorHAnsi" w:hAnsiTheme="minorHAnsi" w:cstheme="minorHAnsi"/>
        </w:rPr>
        <w:t xml:space="preserve"> regarding the proposed amendments to section </w:t>
      </w:r>
      <w:r w:rsidR="00565404" w:rsidRPr="001031C3">
        <w:rPr>
          <w:rFonts w:asciiTheme="minorHAnsi" w:hAnsiTheme="minorHAnsi" w:cstheme="minorHAnsi"/>
        </w:rPr>
        <w:t>80096</w:t>
      </w:r>
      <w:r w:rsidR="00E8297C">
        <w:rPr>
          <w:rFonts w:asciiTheme="minorHAnsi" w:hAnsiTheme="minorHAnsi" w:cstheme="minorHAnsi"/>
        </w:rPr>
        <w:t xml:space="preserve"> </w:t>
      </w:r>
      <w:r w:rsidRPr="001031C3">
        <w:rPr>
          <w:rFonts w:asciiTheme="minorHAnsi" w:hAnsiTheme="minorHAnsi" w:cstheme="minorHAnsi"/>
        </w:rPr>
        <w:t xml:space="preserve">of Title 5 of the California Code of Regulations (CCR) pertaining to subject matter competency. Notice is </w:t>
      </w:r>
      <w:r w:rsidRPr="001031C3">
        <w:rPr>
          <w:rFonts w:asciiTheme="minorHAnsi" w:hAnsiTheme="minorHAnsi" w:cstheme="minorHAnsi"/>
          <w:b/>
          <w:bCs/>
        </w:rPr>
        <w:t>Hereby Given</w:t>
      </w:r>
      <w:r w:rsidRPr="001031C3">
        <w:rPr>
          <w:rFonts w:asciiTheme="minorHAnsi" w:hAnsiTheme="minorHAnsi" w:cstheme="minorHAnsi"/>
        </w:rPr>
        <w:t xml:space="preserve">, pursuant to the requirements of Government Code §11346.8(c) and section 44 of Title 1 of the California Code of Regulations, that the Commission has proposed the following modifications to the text of the proposed regulations. Any person who wishes to comment on the proposed modifications may do so by submitting written comments postmarked beginning </w:t>
      </w:r>
      <w:r w:rsidR="00AB343E">
        <w:rPr>
          <w:rFonts w:asciiTheme="minorHAnsi" w:hAnsiTheme="minorHAnsi" w:cstheme="minorHAnsi"/>
        </w:rPr>
        <w:t>January 20, 20</w:t>
      </w:r>
      <w:r w:rsidR="004C3D6B">
        <w:rPr>
          <w:rFonts w:asciiTheme="minorHAnsi" w:hAnsiTheme="minorHAnsi" w:cstheme="minorHAnsi"/>
        </w:rPr>
        <w:t>22</w:t>
      </w:r>
      <w:r w:rsidR="00FE756A">
        <w:rPr>
          <w:rFonts w:asciiTheme="minorHAnsi" w:hAnsiTheme="minorHAnsi" w:cstheme="minorHAnsi"/>
        </w:rPr>
        <w:t xml:space="preserve">, </w:t>
      </w:r>
      <w:r w:rsidR="00790E4A">
        <w:rPr>
          <w:rFonts w:asciiTheme="minorHAnsi" w:hAnsiTheme="minorHAnsi" w:cstheme="minorHAnsi"/>
        </w:rPr>
        <w:t xml:space="preserve">and </w:t>
      </w:r>
      <w:r w:rsidR="00A333E7">
        <w:rPr>
          <w:rFonts w:asciiTheme="minorHAnsi" w:hAnsiTheme="minorHAnsi" w:cstheme="minorHAnsi"/>
        </w:rPr>
        <w:t xml:space="preserve">ending on </w:t>
      </w:r>
      <w:r w:rsidR="004C3D6B">
        <w:rPr>
          <w:rFonts w:asciiTheme="minorHAnsi" w:hAnsiTheme="minorHAnsi" w:cstheme="minorHAnsi"/>
        </w:rPr>
        <w:t xml:space="preserve">January 6, </w:t>
      </w:r>
      <w:proofErr w:type="gramStart"/>
      <w:r w:rsidR="004C3D6B">
        <w:rPr>
          <w:rFonts w:asciiTheme="minorHAnsi" w:hAnsiTheme="minorHAnsi" w:cstheme="minorHAnsi"/>
        </w:rPr>
        <w:t>2022</w:t>
      </w:r>
      <w:proofErr w:type="gramEnd"/>
      <w:r w:rsidRPr="001031C3">
        <w:rPr>
          <w:rFonts w:asciiTheme="minorHAnsi" w:hAnsiTheme="minorHAnsi" w:cstheme="minorHAnsi"/>
        </w:rPr>
        <w:t xml:space="preserve"> to the Lynette Roby at Lynette.roby@ctc.ca.gov. </w:t>
      </w:r>
    </w:p>
    <w:p w14:paraId="2ADF2B80" w14:textId="77777777" w:rsidR="00687CE6" w:rsidRPr="001031C3" w:rsidRDefault="00687CE6" w:rsidP="00687CE6">
      <w:pPr>
        <w:pStyle w:val="Default"/>
        <w:rPr>
          <w:rFonts w:asciiTheme="minorHAnsi" w:hAnsiTheme="minorHAnsi" w:cstheme="minorHAnsi"/>
        </w:rPr>
      </w:pPr>
    </w:p>
    <w:p w14:paraId="6B3A3C15" w14:textId="79489F12" w:rsidR="00687CE6" w:rsidRDefault="001D1C7F" w:rsidP="00687CE6">
      <w:pPr>
        <w:spacing w:line="240" w:lineRule="auto"/>
        <w:rPr>
          <w:rFonts w:cstheme="minorHAnsi"/>
          <w:color w:val="000000"/>
          <w:sz w:val="24"/>
          <w:szCs w:val="24"/>
        </w:rPr>
      </w:pPr>
      <w:r w:rsidRPr="001031C3">
        <w:rPr>
          <w:rFonts w:cstheme="minorHAnsi"/>
          <w:sz w:val="24"/>
          <w:szCs w:val="24"/>
        </w:rPr>
        <w:t xml:space="preserve">Any written comments are to be restricted to the recent modifications to the enclosed language. The Commission is not required to respond to comments received in response to this notice on other aspects of the proposed regulations. All written comments received or postmarked by </w:t>
      </w:r>
      <w:r w:rsidR="004C3D6B">
        <w:rPr>
          <w:rFonts w:cstheme="minorHAnsi"/>
          <w:sz w:val="24"/>
          <w:szCs w:val="24"/>
        </w:rPr>
        <w:t>January 6, 2022</w:t>
      </w:r>
      <w:r w:rsidR="008A5E11">
        <w:rPr>
          <w:rFonts w:cstheme="minorHAnsi"/>
          <w:sz w:val="24"/>
          <w:szCs w:val="24"/>
        </w:rPr>
        <w:t>,</w:t>
      </w:r>
      <w:r w:rsidRPr="001031C3">
        <w:rPr>
          <w:rFonts w:cstheme="minorHAnsi"/>
          <w:sz w:val="24"/>
          <w:szCs w:val="24"/>
        </w:rPr>
        <w:t xml:space="preserve"> which pertain to the modified text of the proposed regulations provided in this notice will be reviewed and responded to by Commission staff as part of the compilation of the rulemaking file.</w:t>
      </w:r>
      <w:r w:rsidR="001031C3" w:rsidRPr="001031C3">
        <w:rPr>
          <w:rFonts w:cstheme="minorHAnsi"/>
          <w:color w:val="000000"/>
          <w:sz w:val="24"/>
          <w:szCs w:val="24"/>
        </w:rPr>
        <w:t xml:space="preserve"> </w:t>
      </w:r>
      <w:r w:rsidR="001031C3">
        <w:rPr>
          <w:rFonts w:cstheme="minorHAnsi"/>
          <w:color w:val="000000"/>
          <w:sz w:val="24"/>
          <w:szCs w:val="24"/>
        </w:rPr>
        <w:t xml:space="preserve"> </w:t>
      </w:r>
    </w:p>
    <w:p w14:paraId="1EEFE2EA" w14:textId="77777777" w:rsidR="00687CE6" w:rsidRDefault="001D1C7F" w:rsidP="00687CE6">
      <w:pPr>
        <w:spacing w:after="0" w:line="240" w:lineRule="auto"/>
        <w:rPr>
          <w:rFonts w:cstheme="minorHAnsi"/>
          <w:b/>
          <w:bCs/>
          <w:sz w:val="24"/>
          <w:szCs w:val="24"/>
        </w:rPr>
      </w:pPr>
      <w:r w:rsidRPr="001031C3">
        <w:rPr>
          <w:rFonts w:cstheme="minorHAnsi"/>
          <w:b/>
          <w:bCs/>
          <w:sz w:val="24"/>
          <w:szCs w:val="24"/>
        </w:rPr>
        <w:t xml:space="preserve">Summary of Modifications </w:t>
      </w:r>
    </w:p>
    <w:p w14:paraId="3685D888" w14:textId="619D3889" w:rsidR="00E8297C" w:rsidRDefault="006677DA" w:rsidP="00135EB1">
      <w:pPr>
        <w:spacing w:line="240" w:lineRule="auto"/>
        <w:rPr>
          <w:rFonts w:cstheme="minorHAnsi"/>
          <w:sz w:val="24"/>
          <w:szCs w:val="24"/>
        </w:rPr>
      </w:pPr>
      <w:r w:rsidRPr="001031C3">
        <w:rPr>
          <w:rFonts w:cstheme="minorHAnsi"/>
          <w:sz w:val="24"/>
          <w:szCs w:val="24"/>
        </w:rPr>
        <w:t xml:space="preserve">In July 2021, AB 130 (Chap. 44, Stats. 2021) created new options in the Education Code for candidates to demonstrate their subject matter competence through (a) degree majors </w:t>
      </w:r>
      <w:proofErr w:type="gramStart"/>
      <w:r w:rsidRPr="001031C3">
        <w:rPr>
          <w:rFonts w:cstheme="minorHAnsi"/>
          <w:sz w:val="24"/>
          <w:szCs w:val="24"/>
        </w:rPr>
        <w:t>in the area of</w:t>
      </w:r>
      <w:proofErr w:type="gramEnd"/>
      <w:r w:rsidRPr="001031C3">
        <w:rPr>
          <w:rFonts w:cstheme="minorHAnsi"/>
          <w:sz w:val="24"/>
          <w:szCs w:val="24"/>
        </w:rPr>
        <w:t xml:space="preserve"> the credential, (b) coursework that covers the domains of the applicable Subject Matter Requirements for the credential sought, and (c) a combination of coursework and examination subtests required for the credential sought by the candidate.</w:t>
      </w:r>
      <w:r w:rsidR="00205DC0" w:rsidRPr="001031C3">
        <w:rPr>
          <w:rFonts w:cstheme="minorHAnsi"/>
          <w:sz w:val="24"/>
          <w:szCs w:val="24"/>
        </w:rPr>
        <w:t xml:space="preserve"> </w:t>
      </w:r>
      <w:r w:rsidR="000928FD" w:rsidRPr="001031C3">
        <w:rPr>
          <w:rFonts w:cstheme="minorHAnsi"/>
          <w:sz w:val="24"/>
          <w:szCs w:val="24"/>
        </w:rPr>
        <w:t xml:space="preserve">At the June 2022 Commission meeting, the Commission approved proposed regulations for candidates to meet the subject matter requirement </w:t>
      </w:r>
      <w:r w:rsidR="00502124">
        <w:rPr>
          <w:rFonts w:cstheme="minorHAnsi"/>
          <w:sz w:val="24"/>
          <w:szCs w:val="24"/>
        </w:rPr>
        <w:t xml:space="preserve">as </w:t>
      </w:r>
      <w:r w:rsidR="000928FD" w:rsidRPr="001031C3">
        <w:rPr>
          <w:rFonts w:cstheme="minorHAnsi"/>
          <w:sz w:val="24"/>
          <w:szCs w:val="24"/>
        </w:rPr>
        <w:t>outlined in Education Code sections 44259 and 44310</w:t>
      </w:r>
      <w:r w:rsidR="00D55D0D" w:rsidRPr="001031C3">
        <w:rPr>
          <w:rFonts w:cstheme="minorHAnsi"/>
          <w:sz w:val="24"/>
          <w:szCs w:val="24"/>
        </w:rPr>
        <w:t xml:space="preserve">.  Pursuant </w:t>
      </w:r>
      <w:r w:rsidR="00336515" w:rsidRPr="001031C3">
        <w:rPr>
          <w:rFonts w:cstheme="minorHAnsi"/>
          <w:sz w:val="24"/>
          <w:szCs w:val="24"/>
        </w:rPr>
        <w:t xml:space="preserve">to the state process for promulgating regulations, the Commission opened </w:t>
      </w:r>
      <w:r w:rsidR="00175081" w:rsidRPr="001031C3">
        <w:rPr>
          <w:rFonts w:cstheme="minorHAnsi"/>
          <w:sz w:val="24"/>
          <w:szCs w:val="24"/>
        </w:rPr>
        <w:t>a</w:t>
      </w:r>
      <w:r w:rsidR="00336515" w:rsidRPr="001031C3">
        <w:rPr>
          <w:rFonts w:cstheme="minorHAnsi"/>
          <w:sz w:val="24"/>
          <w:szCs w:val="24"/>
        </w:rPr>
        <w:t xml:space="preserve"> 45-day public comment period </w:t>
      </w:r>
      <w:r w:rsidR="00502124">
        <w:rPr>
          <w:rFonts w:cstheme="minorHAnsi"/>
          <w:sz w:val="24"/>
          <w:szCs w:val="24"/>
        </w:rPr>
        <w:t xml:space="preserve">regarding these </w:t>
      </w:r>
      <w:r w:rsidR="00C85BB7">
        <w:rPr>
          <w:rFonts w:cstheme="minorHAnsi"/>
          <w:sz w:val="24"/>
          <w:szCs w:val="24"/>
        </w:rPr>
        <w:t xml:space="preserve">proposed regulations </w:t>
      </w:r>
      <w:r w:rsidR="00336515" w:rsidRPr="001031C3">
        <w:rPr>
          <w:rFonts w:cstheme="minorHAnsi"/>
          <w:sz w:val="24"/>
          <w:szCs w:val="24"/>
        </w:rPr>
        <w:t xml:space="preserve">on October 21, 2022.  </w:t>
      </w:r>
      <w:r w:rsidR="004F0AC6" w:rsidRPr="001031C3">
        <w:rPr>
          <w:rFonts w:cstheme="minorHAnsi"/>
          <w:sz w:val="24"/>
          <w:szCs w:val="24"/>
        </w:rPr>
        <w:t xml:space="preserve">On November 18, 2022, the Commission received a written request for a public hearing to discuss </w:t>
      </w:r>
      <w:r w:rsidR="00324117">
        <w:rPr>
          <w:rFonts w:cstheme="minorHAnsi"/>
          <w:sz w:val="24"/>
          <w:szCs w:val="24"/>
        </w:rPr>
        <w:t xml:space="preserve">the </w:t>
      </w:r>
      <w:r w:rsidR="007731FB" w:rsidRPr="001031C3">
        <w:rPr>
          <w:rFonts w:cstheme="minorHAnsi"/>
          <w:sz w:val="24"/>
          <w:szCs w:val="24"/>
        </w:rPr>
        <w:t xml:space="preserve">proposed subject matter competency </w:t>
      </w:r>
      <w:r w:rsidR="004F0AC6" w:rsidRPr="001031C3">
        <w:rPr>
          <w:rFonts w:cstheme="minorHAnsi"/>
          <w:sz w:val="24"/>
          <w:szCs w:val="24"/>
        </w:rPr>
        <w:t xml:space="preserve">regulations. </w:t>
      </w:r>
      <w:r w:rsidR="00385244" w:rsidRPr="001031C3">
        <w:rPr>
          <w:rFonts w:cstheme="minorHAnsi"/>
          <w:sz w:val="24"/>
          <w:szCs w:val="24"/>
        </w:rPr>
        <w:t xml:space="preserve">Specific concerns were raised during the public hearing about acceptable majors for the single subject area of Social Sciences. </w:t>
      </w:r>
      <w:r w:rsidR="00BC6CCE" w:rsidRPr="001031C3">
        <w:rPr>
          <w:rFonts w:cstheme="minorHAnsi"/>
          <w:sz w:val="24"/>
          <w:szCs w:val="24"/>
        </w:rPr>
        <w:t xml:space="preserve">At the December </w:t>
      </w:r>
      <w:r w:rsidR="00382DAB" w:rsidRPr="001031C3">
        <w:rPr>
          <w:rFonts w:cstheme="minorHAnsi"/>
          <w:sz w:val="24"/>
          <w:szCs w:val="24"/>
        </w:rPr>
        <w:t>9</w:t>
      </w:r>
      <w:r w:rsidR="00324117">
        <w:rPr>
          <w:rFonts w:cstheme="minorHAnsi"/>
          <w:sz w:val="24"/>
          <w:szCs w:val="24"/>
        </w:rPr>
        <w:t xml:space="preserve">, </w:t>
      </w:r>
      <w:proofErr w:type="gramStart"/>
      <w:r w:rsidR="00324117">
        <w:rPr>
          <w:rFonts w:cstheme="minorHAnsi"/>
          <w:sz w:val="24"/>
          <w:szCs w:val="24"/>
        </w:rPr>
        <w:t>2022</w:t>
      </w:r>
      <w:proofErr w:type="gramEnd"/>
      <w:r w:rsidR="00382DAB" w:rsidRPr="001031C3">
        <w:rPr>
          <w:rFonts w:cstheme="minorHAnsi"/>
          <w:sz w:val="24"/>
          <w:szCs w:val="24"/>
        </w:rPr>
        <w:t xml:space="preserve"> public </w:t>
      </w:r>
      <w:r w:rsidR="00382DAB" w:rsidRPr="001031C3">
        <w:rPr>
          <w:rFonts w:cstheme="minorHAnsi"/>
          <w:sz w:val="24"/>
          <w:szCs w:val="24"/>
        </w:rPr>
        <w:lastRenderedPageBreak/>
        <w:t>hearing before the Commission,</w:t>
      </w:r>
      <w:r w:rsidR="00385244" w:rsidRPr="001031C3">
        <w:rPr>
          <w:rFonts w:cstheme="minorHAnsi"/>
          <w:sz w:val="24"/>
          <w:szCs w:val="24"/>
        </w:rPr>
        <w:t xml:space="preserve"> Commission </w:t>
      </w:r>
      <w:r w:rsidR="00B034CC" w:rsidRPr="001031C3">
        <w:rPr>
          <w:rFonts w:cstheme="minorHAnsi"/>
          <w:sz w:val="24"/>
          <w:szCs w:val="24"/>
        </w:rPr>
        <w:t xml:space="preserve">members </w:t>
      </w:r>
      <w:r w:rsidR="00382DAB" w:rsidRPr="001031C3">
        <w:rPr>
          <w:rFonts w:cstheme="minorHAnsi"/>
          <w:sz w:val="24"/>
          <w:szCs w:val="24"/>
        </w:rPr>
        <w:t xml:space="preserve">responded to </w:t>
      </w:r>
      <w:r w:rsidR="00324117">
        <w:rPr>
          <w:rFonts w:cstheme="minorHAnsi"/>
          <w:sz w:val="24"/>
          <w:szCs w:val="24"/>
        </w:rPr>
        <w:t xml:space="preserve">all </w:t>
      </w:r>
      <w:r w:rsidR="00C93089" w:rsidRPr="001031C3">
        <w:rPr>
          <w:rFonts w:cstheme="minorHAnsi"/>
          <w:sz w:val="24"/>
          <w:szCs w:val="24"/>
        </w:rPr>
        <w:t xml:space="preserve">public </w:t>
      </w:r>
      <w:r w:rsidR="00B034CC" w:rsidRPr="001031C3">
        <w:rPr>
          <w:rFonts w:cstheme="minorHAnsi"/>
          <w:sz w:val="24"/>
          <w:szCs w:val="24"/>
        </w:rPr>
        <w:t>concerns</w:t>
      </w:r>
      <w:r w:rsidR="00324117">
        <w:rPr>
          <w:rFonts w:cstheme="minorHAnsi"/>
          <w:sz w:val="24"/>
          <w:szCs w:val="24"/>
        </w:rPr>
        <w:t xml:space="preserve"> and comments</w:t>
      </w:r>
      <w:r w:rsidR="00B034CC" w:rsidRPr="001031C3">
        <w:rPr>
          <w:rFonts w:cstheme="minorHAnsi"/>
          <w:sz w:val="24"/>
          <w:szCs w:val="24"/>
        </w:rPr>
        <w:t xml:space="preserve"> </w:t>
      </w:r>
      <w:r w:rsidR="00A742B3">
        <w:rPr>
          <w:rFonts w:cstheme="minorHAnsi"/>
          <w:sz w:val="24"/>
          <w:szCs w:val="24"/>
        </w:rPr>
        <w:t xml:space="preserve">and determined </w:t>
      </w:r>
      <w:r w:rsidR="00385244" w:rsidRPr="001031C3">
        <w:rPr>
          <w:rFonts w:cstheme="minorHAnsi"/>
          <w:sz w:val="24"/>
          <w:szCs w:val="24"/>
        </w:rPr>
        <w:t xml:space="preserve">that </w:t>
      </w:r>
      <w:r w:rsidR="00EB20ED" w:rsidRPr="001031C3">
        <w:rPr>
          <w:rFonts w:cstheme="minorHAnsi"/>
          <w:sz w:val="24"/>
          <w:szCs w:val="24"/>
        </w:rPr>
        <w:t>the single subject are</w:t>
      </w:r>
      <w:r w:rsidR="00EC3906" w:rsidRPr="001031C3">
        <w:rPr>
          <w:rFonts w:cstheme="minorHAnsi"/>
          <w:sz w:val="24"/>
          <w:szCs w:val="24"/>
        </w:rPr>
        <w:t>a</w:t>
      </w:r>
      <w:r w:rsidR="00EB20ED" w:rsidRPr="001031C3">
        <w:rPr>
          <w:rFonts w:cstheme="minorHAnsi"/>
          <w:sz w:val="24"/>
          <w:szCs w:val="24"/>
        </w:rPr>
        <w:t xml:space="preserve"> of Social Science be removed </w:t>
      </w:r>
      <w:r w:rsidR="009D511B" w:rsidRPr="001031C3">
        <w:rPr>
          <w:rFonts w:cstheme="minorHAnsi"/>
          <w:sz w:val="24"/>
          <w:szCs w:val="24"/>
        </w:rPr>
        <w:t>from the proposed regulations</w:t>
      </w:r>
      <w:r w:rsidR="00A742B3">
        <w:rPr>
          <w:rFonts w:cstheme="minorHAnsi"/>
          <w:sz w:val="24"/>
          <w:szCs w:val="24"/>
        </w:rPr>
        <w:t>; that there be</w:t>
      </w:r>
      <w:r w:rsidR="009D511B" w:rsidRPr="001031C3">
        <w:rPr>
          <w:rFonts w:cstheme="minorHAnsi"/>
          <w:sz w:val="24"/>
          <w:szCs w:val="24"/>
        </w:rPr>
        <w:t xml:space="preserve"> </w:t>
      </w:r>
      <w:r w:rsidR="00CF02B1" w:rsidRPr="001031C3">
        <w:rPr>
          <w:rFonts w:cstheme="minorHAnsi"/>
          <w:sz w:val="24"/>
          <w:szCs w:val="24"/>
        </w:rPr>
        <w:t xml:space="preserve">further </w:t>
      </w:r>
      <w:r w:rsidR="00E21150" w:rsidRPr="001031C3">
        <w:rPr>
          <w:rFonts w:cstheme="minorHAnsi"/>
          <w:sz w:val="24"/>
          <w:szCs w:val="24"/>
        </w:rPr>
        <w:t>examination</w:t>
      </w:r>
      <w:r w:rsidR="001D200E" w:rsidRPr="001031C3">
        <w:rPr>
          <w:rFonts w:cstheme="minorHAnsi"/>
          <w:sz w:val="24"/>
          <w:szCs w:val="24"/>
        </w:rPr>
        <w:t xml:space="preserve"> </w:t>
      </w:r>
      <w:r w:rsidR="00BF3422">
        <w:rPr>
          <w:rFonts w:cstheme="minorHAnsi"/>
          <w:sz w:val="24"/>
          <w:szCs w:val="24"/>
        </w:rPr>
        <w:t xml:space="preserve">and discussion regarding </w:t>
      </w:r>
      <w:r w:rsidR="00A00B5E">
        <w:rPr>
          <w:rFonts w:cstheme="minorHAnsi"/>
          <w:sz w:val="24"/>
          <w:szCs w:val="24"/>
        </w:rPr>
        <w:t>acceptable majors for the</w:t>
      </w:r>
      <w:r w:rsidR="00BF3422">
        <w:rPr>
          <w:rFonts w:cstheme="minorHAnsi"/>
          <w:sz w:val="24"/>
          <w:szCs w:val="24"/>
        </w:rPr>
        <w:t xml:space="preserve"> single subject area of Social Science</w:t>
      </w:r>
      <w:r w:rsidR="00A00B5E">
        <w:rPr>
          <w:rFonts w:cstheme="minorHAnsi"/>
          <w:sz w:val="24"/>
          <w:szCs w:val="24"/>
        </w:rPr>
        <w:t>;</w:t>
      </w:r>
      <w:r w:rsidR="00BF3422">
        <w:rPr>
          <w:rFonts w:cstheme="minorHAnsi"/>
          <w:sz w:val="24"/>
          <w:szCs w:val="24"/>
        </w:rPr>
        <w:t xml:space="preserve"> </w:t>
      </w:r>
      <w:r w:rsidR="001D200E" w:rsidRPr="001031C3">
        <w:rPr>
          <w:rFonts w:cstheme="minorHAnsi"/>
          <w:sz w:val="24"/>
          <w:szCs w:val="24"/>
        </w:rPr>
        <w:t>and</w:t>
      </w:r>
      <w:r w:rsidR="00A00B5E">
        <w:rPr>
          <w:rFonts w:cstheme="minorHAnsi"/>
          <w:sz w:val="24"/>
          <w:szCs w:val="24"/>
        </w:rPr>
        <w:t xml:space="preserve">, </w:t>
      </w:r>
      <w:r w:rsidR="001D200E" w:rsidRPr="001031C3">
        <w:rPr>
          <w:rFonts w:cstheme="minorHAnsi"/>
          <w:sz w:val="24"/>
          <w:szCs w:val="24"/>
        </w:rPr>
        <w:t>that the remaining regulations be</w:t>
      </w:r>
      <w:r w:rsidR="00E21150" w:rsidRPr="001031C3">
        <w:rPr>
          <w:rFonts w:cstheme="minorHAnsi"/>
          <w:sz w:val="24"/>
          <w:szCs w:val="24"/>
        </w:rPr>
        <w:t xml:space="preserve"> </w:t>
      </w:r>
      <w:r w:rsidR="001D200E" w:rsidRPr="001031C3">
        <w:rPr>
          <w:rFonts w:cstheme="minorHAnsi"/>
          <w:sz w:val="24"/>
          <w:szCs w:val="24"/>
        </w:rPr>
        <w:t>move</w:t>
      </w:r>
      <w:r w:rsidR="00135EB1" w:rsidRPr="001031C3">
        <w:rPr>
          <w:rFonts w:cstheme="minorHAnsi"/>
          <w:sz w:val="24"/>
          <w:szCs w:val="24"/>
        </w:rPr>
        <w:t>d forward in the rulemaking process as proposed</w:t>
      </w:r>
      <w:r w:rsidR="00A00B5E">
        <w:rPr>
          <w:rFonts w:cstheme="minorHAnsi"/>
          <w:sz w:val="24"/>
          <w:szCs w:val="24"/>
        </w:rPr>
        <w:t xml:space="preserve"> with</w:t>
      </w:r>
      <w:r w:rsidR="00A767AC">
        <w:rPr>
          <w:rFonts w:cstheme="minorHAnsi"/>
          <w:sz w:val="24"/>
          <w:szCs w:val="24"/>
        </w:rPr>
        <w:t>out</w:t>
      </w:r>
      <w:r w:rsidR="00A00B5E">
        <w:rPr>
          <w:rFonts w:cstheme="minorHAnsi"/>
          <w:sz w:val="24"/>
          <w:szCs w:val="24"/>
        </w:rPr>
        <w:t xml:space="preserve"> the Social Science single subject</w:t>
      </w:r>
      <w:r w:rsidR="00A767AC">
        <w:rPr>
          <w:rFonts w:cstheme="minorHAnsi"/>
          <w:sz w:val="24"/>
          <w:szCs w:val="24"/>
        </w:rPr>
        <w:t xml:space="preserve"> area</w:t>
      </w:r>
      <w:r w:rsidR="00135EB1" w:rsidRPr="001031C3">
        <w:rPr>
          <w:rFonts w:cstheme="minorHAnsi"/>
          <w:sz w:val="24"/>
          <w:szCs w:val="24"/>
        </w:rPr>
        <w:t xml:space="preserve">.   </w:t>
      </w:r>
    </w:p>
    <w:p w14:paraId="445A54B1" w14:textId="3DF1FC08" w:rsidR="001F0F31" w:rsidRPr="00E8297C" w:rsidRDefault="00E8297C" w:rsidP="00135EB1">
      <w:pPr>
        <w:spacing w:line="240" w:lineRule="auto"/>
        <w:rPr>
          <w:rFonts w:cstheme="minorHAnsi"/>
          <w:sz w:val="24"/>
          <w:szCs w:val="24"/>
        </w:rPr>
      </w:pPr>
      <w:r w:rsidRPr="00E8297C">
        <w:rPr>
          <w:color w:val="000000"/>
          <w:sz w:val="24"/>
          <w:szCs w:val="24"/>
        </w:rPr>
        <w:t>Th</w:t>
      </w:r>
      <w:r w:rsidR="00A767AC">
        <w:rPr>
          <w:color w:val="000000"/>
          <w:sz w:val="24"/>
          <w:szCs w:val="24"/>
        </w:rPr>
        <w:t>us, the</w:t>
      </w:r>
      <w:r w:rsidRPr="00E8297C">
        <w:rPr>
          <w:color w:val="000000"/>
          <w:sz w:val="24"/>
          <w:szCs w:val="24"/>
        </w:rPr>
        <w:t xml:space="preserve"> substantive proposed modifications are </w:t>
      </w:r>
      <w:r w:rsidR="00A767AC">
        <w:rPr>
          <w:color w:val="000000"/>
          <w:sz w:val="24"/>
          <w:szCs w:val="24"/>
        </w:rPr>
        <w:t xml:space="preserve">made </w:t>
      </w:r>
      <w:r w:rsidRPr="00E8297C">
        <w:rPr>
          <w:color w:val="000000"/>
          <w:sz w:val="24"/>
          <w:szCs w:val="24"/>
        </w:rPr>
        <w:t xml:space="preserve">to </w:t>
      </w:r>
      <w:r w:rsidRPr="00E8297C">
        <w:rPr>
          <w:rFonts w:cstheme="minorHAnsi"/>
          <w:sz w:val="24"/>
          <w:szCs w:val="24"/>
        </w:rPr>
        <w:t>80096</w:t>
      </w:r>
      <w:r w:rsidR="007F537D">
        <w:rPr>
          <w:rFonts w:cstheme="minorHAnsi"/>
          <w:sz w:val="24"/>
          <w:szCs w:val="24"/>
        </w:rPr>
        <w:t>(b)(9)</w:t>
      </w:r>
      <w:r w:rsidRPr="00E8297C">
        <w:rPr>
          <w:rFonts w:cstheme="minorHAnsi"/>
          <w:sz w:val="24"/>
          <w:szCs w:val="24"/>
        </w:rPr>
        <w:t xml:space="preserve"> of Title 5 of the California Code of Regulations (CCR) pertaining to subject matter competency</w:t>
      </w:r>
      <w:r w:rsidRPr="00E8297C">
        <w:rPr>
          <w:color w:val="000000"/>
          <w:sz w:val="24"/>
          <w:szCs w:val="24"/>
        </w:rPr>
        <w:t>.</w:t>
      </w:r>
      <w:r w:rsidR="00132E4D">
        <w:rPr>
          <w:color w:val="000000"/>
          <w:sz w:val="24"/>
          <w:szCs w:val="24"/>
        </w:rPr>
        <w:t xml:space="preserve"> </w:t>
      </w:r>
      <w:r w:rsidRPr="00E8297C">
        <w:rPr>
          <w:color w:val="000000"/>
          <w:sz w:val="24"/>
          <w:szCs w:val="24"/>
        </w:rPr>
        <w:t>The portion of the program standards to which the modifications are being made is indicated with double strike through below. The text in single underline was already noticed for the 45-day comment period.</w:t>
      </w:r>
    </w:p>
    <w:p w14:paraId="0DE77E7B" w14:textId="77777777" w:rsidR="00135EB1" w:rsidRDefault="00AC3D9E" w:rsidP="00135EB1">
      <w:pPr>
        <w:pStyle w:val="NormalWeb"/>
        <w:spacing w:before="0" w:beforeAutospacing="0" w:after="0" w:afterAutospacing="0"/>
        <w:rPr>
          <w:rFonts w:asciiTheme="minorHAnsi" w:hAnsiTheme="minorHAnsi" w:cstheme="minorHAnsi"/>
          <w:b/>
          <w:bCs/>
          <w:color w:val="000000"/>
        </w:rPr>
      </w:pPr>
      <w:r w:rsidRPr="00135EB1">
        <w:rPr>
          <w:rFonts w:asciiTheme="minorHAnsi" w:hAnsiTheme="minorHAnsi" w:cstheme="minorHAnsi"/>
          <w:b/>
          <w:bCs/>
          <w:color w:val="000000"/>
        </w:rPr>
        <w:t>Written Comment Period</w:t>
      </w:r>
    </w:p>
    <w:p w14:paraId="41376AD4" w14:textId="1D4FD0EE" w:rsidR="00AC3D9E" w:rsidRDefault="00AC3D9E" w:rsidP="00135EB1">
      <w:pPr>
        <w:pStyle w:val="NormalWeb"/>
        <w:spacing w:before="0" w:beforeAutospacing="0" w:after="0" w:afterAutospacing="0"/>
        <w:rPr>
          <w:rFonts w:asciiTheme="minorHAnsi" w:hAnsiTheme="minorHAnsi" w:cstheme="minorHAnsi"/>
          <w:color w:val="000000"/>
        </w:rPr>
      </w:pPr>
      <w:r w:rsidRPr="001031C3">
        <w:rPr>
          <w:rFonts w:asciiTheme="minorHAnsi" w:hAnsiTheme="minorHAnsi" w:cstheme="minorHAnsi"/>
          <w:color w:val="000000"/>
        </w:rPr>
        <w:t xml:space="preserve">Any interested person, or his or her authorized representative, may submit written comments by fax, through the mail, or by email relevant to the proposed action. The written comment period closes on </w:t>
      </w:r>
      <w:r w:rsidR="004C3D6B">
        <w:rPr>
          <w:rFonts w:asciiTheme="minorHAnsi" w:hAnsiTheme="minorHAnsi" w:cstheme="minorHAnsi"/>
          <w:color w:val="000000"/>
        </w:rPr>
        <w:t>January 6, 2022</w:t>
      </w:r>
      <w:r w:rsidRPr="001031C3">
        <w:rPr>
          <w:rFonts w:asciiTheme="minorHAnsi" w:hAnsiTheme="minorHAnsi" w:cstheme="minorHAnsi"/>
          <w:color w:val="000000"/>
        </w:rPr>
        <w:t xml:space="preserve">. Comments must be received by that time or may be submitted at the public hearing, should one be requested. Interested parties may fax their response to (916) 327-3165; write to the Commission on Teacher Credentialing, attn. </w:t>
      </w:r>
      <w:r w:rsidR="0052775C">
        <w:rPr>
          <w:rFonts w:asciiTheme="minorHAnsi" w:hAnsiTheme="minorHAnsi" w:cstheme="minorHAnsi"/>
          <w:color w:val="000000"/>
        </w:rPr>
        <w:t>David DeGuire</w:t>
      </w:r>
      <w:r w:rsidRPr="001031C3">
        <w:rPr>
          <w:rFonts w:asciiTheme="minorHAnsi" w:hAnsiTheme="minorHAnsi" w:cstheme="minorHAnsi"/>
          <w:color w:val="000000"/>
        </w:rPr>
        <w:t xml:space="preserve">, 1900 Capitol Avenue, Sacramento, California 95811; or submit an email to Lynette Roby at </w:t>
      </w:r>
      <w:hyperlink r:id="rId10" w:history="1">
        <w:r w:rsidR="00135EB1" w:rsidRPr="008A47BE">
          <w:rPr>
            <w:rStyle w:val="Hyperlink"/>
            <w:rFonts w:asciiTheme="minorHAnsi" w:hAnsiTheme="minorHAnsi" w:cstheme="minorHAnsi"/>
          </w:rPr>
          <w:t>Lynette.Roby@ctc.ca.gov</w:t>
        </w:r>
      </w:hyperlink>
      <w:r w:rsidRPr="001031C3">
        <w:rPr>
          <w:rFonts w:asciiTheme="minorHAnsi" w:hAnsiTheme="minorHAnsi" w:cstheme="minorHAnsi"/>
          <w:color w:val="000000"/>
        </w:rPr>
        <w:t>.</w:t>
      </w:r>
    </w:p>
    <w:p w14:paraId="490302AE" w14:textId="77777777" w:rsidR="00135EB1" w:rsidRPr="00135EB1" w:rsidRDefault="00135EB1" w:rsidP="00135EB1">
      <w:pPr>
        <w:pStyle w:val="NormalWeb"/>
        <w:spacing w:before="0" w:beforeAutospacing="0" w:after="0" w:afterAutospacing="0"/>
        <w:rPr>
          <w:rFonts w:asciiTheme="minorHAnsi" w:hAnsiTheme="minorHAnsi" w:cstheme="minorHAnsi"/>
          <w:b/>
          <w:bCs/>
          <w:color w:val="000000"/>
        </w:rPr>
      </w:pPr>
    </w:p>
    <w:p w14:paraId="53926C67" w14:textId="77777777" w:rsidR="00135EB1" w:rsidRDefault="00AC3D9E" w:rsidP="00135EB1">
      <w:pPr>
        <w:pStyle w:val="NormalWeb"/>
        <w:spacing w:before="0" w:beforeAutospacing="0" w:after="0" w:afterAutospacing="0"/>
        <w:rPr>
          <w:rFonts w:asciiTheme="minorHAnsi" w:hAnsiTheme="minorHAnsi" w:cstheme="minorHAnsi"/>
          <w:b/>
          <w:bCs/>
          <w:color w:val="000000"/>
        </w:rPr>
      </w:pPr>
      <w:r w:rsidRPr="00135EB1">
        <w:rPr>
          <w:rFonts w:asciiTheme="minorHAnsi" w:hAnsiTheme="minorHAnsi" w:cstheme="minorHAnsi"/>
          <w:b/>
          <w:bCs/>
          <w:color w:val="000000"/>
        </w:rPr>
        <w:t>Contact Persons/Further Information</w:t>
      </w:r>
    </w:p>
    <w:p w14:paraId="4DB801F0" w14:textId="3A727229" w:rsidR="00AC3D9E" w:rsidRDefault="00AC3D9E" w:rsidP="00135EB1">
      <w:pPr>
        <w:pStyle w:val="NormalWeb"/>
        <w:spacing w:before="0" w:beforeAutospacing="0" w:after="0" w:afterAutospacing="0"/>
        <w:rPr>
          <w:rFonts w:asciiTheme="minorHAnsi" w:hAnsiTheme="minorHAnsi" w:cstheme="minorHAnsi"/>
          <w:color w:val="000000"/>
        </w:rPr>
      </w:pPr>
      <w:r w:rsidRPr="001031C3">
        <w:rPr>
          <w:rFonts w:asciiTheme="minorHAnsi" w:hAnsiTheme="minorHAnsi" w:cstheme="minorHAnsi"/>
          <w:color w:val="000000"/>
        </w:rPr>
        <w:t>General or substantive inquiries concerning the proposed action may be directed to Lynette Roby by telephone at 916-324-3668 by mail at Commission on Teacher Credentialing, 1900 Capitol Avenue, Sacramento, CA 95811, or by email to Lynette Roby at Lynette.Roby@ctc.ca.gov. General question inquiries may also be directed to the addresses mentioned above. Upon request, a copy of the express terms of the proposed action and a copy of the Initial Statement of Reasons will be made available. This information is also available on the Commission’s rulemaking website. In addition, all the information on which this proposal is based is available for inspection and copying.</w:t>
      </w:r>
    </w:p>
    <w:p w14:paraId="4C9A0965" w14:textId="77777777" w:rsidR="00C2068D" w:rsidRDefault="00C2068D" w:rsidP="00135EB1">
      <w:pPr>
        <w:pStyle w:val="NormalWeb"/>
        <w:spacing w:before="0" w:beforeAutospacing="0" w:after="0" w:afterAutospacing="0"/>
        <w:rPr>
          <w:rFonts w:asciiTheme="minorHAnsi" w:hAnsiTheme="minorHAnsi" w:cstheme="minorHAnsi"/>
          <w:color w:val="000000"/>
        </w:rPr>
      </w:pPr>
    </w:p>
    <w:p w14:paraId="6E12081B" w14:textId="77777777" w:rsidR="00C2068D" w:rsidRDefault="007C5DA0" w:rsidP="00C2068D">
      <w:pPr>
        <w:pStyle w:val="NormalWeb"/>
        <w:spacing w:before="0" w:beforeAutospacing="0" w:after="0" w:afterAutospacing="0"/>
        <w:rPr>
          <w:rFonts w:asciiTheme="minorHAnsi" w:hAnsiTheme="minorHAnsi" w:cstheme="minorHAnsi"/>
          <w:b/>
          <w:bCs/>
          <w:color w:val="000000"/>
        </w:rPr>
      </w:pPr>
      <w:r w:rsidRPr="007C5DA0">
        <w:rPr>
          <w:rFonts w:asciiTheme="minorHAnsi" w:hAnsiTheme="minorHAnsi" w:cstheme="minorHAnsi"/>
          <w:b/>
          <w:bCs/>
          <w:color w:val="000000"/>
        </w:rPr>
        <w:t>Documents Relied Upon in Preparing 15-Day Notice</w:t>
      </w:r>
    </w:p>
    <w:p w14:paraId="54359385" w14:textId="65F9CEDB" w:rsidR="007C5DA0" w:rsidRPr="004A7424" w:rsidRDefault="00BC6A2D" w:rsidP="00C2068D">
      <w:pPr>
        <w:pStyle w:val="NormalWeb"/>
        <w:spacing w:before="0" w:beforeAutospacing="0" w:after="0" w:afterAutospacing="0"/>
        <w:rPr>
          <w:rFonts w:asciiTheme="minorHAnsi" w:hAnsiTheme="minorHAnsi" w:cstheme="minorHAnsi"/>
          <w:b/>
          <w:bCs/>
          <w:color w:val="000000"/>
        </w:rPr>
      </w:pPr>
      <w:r w:rsidRPr="004A7424">
        <w:rPr>
          <w:rFonts w:asciiTheme="minorHAnsi" w:hAnsiTheme="minorHAnsi" w:cstheme="minorHAnsi"/>
        </w:rPr>
        <w:t>December 9, 2022 Agenda Item</w:t>
      </w:r>
      <w:hyperlink r:id="rId11" w:history="1"/>
      <w:r w:rsidRPr="004A7424">
        <w:rPr>
          <w:rFonts w:asciiTheme="minorHAnsi" w:hAnsiTheme="minorHAnsi" w:cstheme="minorHAnsi"/>
        </w:rPr>
        <w:t>1H, Public Hearing Proposed Regulations Regarding Options for Meeting the Subject Matter Competence Requirement</w:t>
      </w:r>
      <w:r w:rsidR="004A7424">
        <w:rPr>
          <w:rFonts w:asciiTheme="minorHAnsi" w:hAnsiTheme="minorHAnsi" w:cstheme="minorHAnsi"/>
        </w:rPr>
        <w:t xml:space="preserve"> </w:t>
      </w:r>
      <w:hyperlink r:id="rId12" w:history="1"/>
      <w:r w:rsidR="00BA3300">
        <w:t xml:space="preserve"> </w:t>
      </w:r>
      <w:hyperlink r:id="rId13" w:history="1">
        <w:r w:rsidR="006F3769" w:rsidRPr="00745A0D">
          <w:rPr>
            <w:rStyle w:val="Hyperlink"/>
            <w:rFonts w:asciiTheme="minorHAnsi" w:hAnsiTheme="minorHAnsi" w:cstheme="minorHAnsi"/>
          </w:rPr>
          <w:t>https://www.ctc.ca.gov/docs/default-source/commission/agendas/2022-12/2022-12-1h.pdf?sfvrsn=6cab26b1_3</w:t>
        </w:r>
      </w:hyperlink>
      <w:r w:rsidR="006F3769">
        <w:t xml:space="preserve"> </w:t>
      </w:r>
    </w:p>
    <w:p w14:paraId="01233411" w14:textId="77777777" w:rsidR="00135EB1" w:rsidRPr="00135EB1" w:rsidRDefault="00135EB1" w:rsidP="00135EB1">
      <w:pPr>
        <w:pStyle w:val="NormalWeb"/>
        <w:spacing w:before="0" w:beforeAutospacing="0" w:after="0" w:afterAutospacing="0"/>
        <w:rPr>
          <w:rFonts w:asciiTheme="minorHAnsi" w:hAnsiTheme="minorHAnsi" w:cstheme="minorHAnsi"/>
          <w:b/>
          <w:bCs/>
          <w:color w:val="000000"/>
        </w:rPr>
      </w:pPr>
    </w:p>
    <w:p w14:paraId="272F2ABB" w14:textId="77777777" w:rsidR="00AC3D9E" w:rsidRPr="00135EB1" w:rsidRDefault="00AC3D9E" w:rsidP="00135EB1">
      <w:pPr>
        <w:pStyle w:val="NormalWeb"/>
        <w:spacing w:before="0" w:beforeAutospacing="0" w:after="0" w:afterAutospacing="0"/>
        <w:rPr>
          <w:rFonts w:asciiTheme="minorHAnsi" w:hAnsiTheme="minorHAnsi" w:cstheme="minorHAnsi"/>
          <w:b/>
          <w:bCs/>
          <w:color w:val="000000"/>
        </w:rPr>
      </w:pPr>
      <w:r w:rsidRPr="00135EB1">
        <w:rPr>
          <w:rFonts w:asciiTheme="minorHAnsi" w:hAnsiTheme="minorHAnsi" w:cstheme="minorHAnsi"/>
          <w:b/>
          <w:bCs/>
          <w:color w:val="000000"/>
        </w:rPr>
        <w:t>Availability of Documents on the Internet</w:t>
      </w:r>
    </w:p>
    <w:p w14:paraId="578719E7" w14:textId="77777777" w:rsidR="00AC3D9E" w:rsidRPr="001031C3" w:rsidRDefault="00AC3D9E" w:rsidP="00135EB1">
      <w:pPr>
        <w:pStyle w:val="NormalWeb"/>
        <w:spacing w:before="0" w:beforeAutospacing="0" w:after="0" w:afterAutospacing="0"/>
        <w:rPr>
          <w:rFonts w:asciiTheme="minorHAnsi" w:hAnsiTheme="minorHAnsi" w:cstheme="minorHAnsi"/>
          <w:color w:val="000000"/>
        </w:rPr>
      </w:pPr>
      <w:r w:rsidRPr="001031C3">
        <w:rPr>
          <w:rFonts w:asciiTheme="minorHAnsi" w:hAnsiTheme="minorHAnsi" w:cstheme="minorHAnsi"/>
          <w:color w:val="000000"/>
        </w:rPr>
        <w:t>Copies of the Notice of Proposed Rulemaking, the Initial Statement of Reasons, the text of the regulations, and this 15-Day Notice can be accessed through the Commission’s website listed above.</w:t>
      </w:r>
    </w:p>
    <w:p w14:paraId="689F278D" w14:textId="2E5B499E" w:rsidR="001D29F9" w:rsidRPr="001031C3" w:rsidRDefault="001D29F9" w:rsidP="00687CE6">
      <w:pPr>
        <w:spacing w:line="240" w:lineRule="auto"/>
        <w:rPr>
          <w:rFonts w:cstheme="minorHAnsi"/>
          <w:b/>
          <w:bCs/>
          <w:sz w:val="24"/>
          <w:szCs w:val="24"/>
        </w:rPr>
      </w:pPr>
    </w:p>
    <w:p w14:paraId="1551D894" w14:textId="77777777" w:rsidR="008837AE" w:rsidRPr="001031C3" w:rsidRDefault="008837AE" w:rsidP="00687CE6">
      <w:pPr>
        <w:spacing w:line="240" w:lineRule="auto"/>
        <w:rPr>
          <w:rFonts w:cstheme="minorHAnsi"/>
          <w:sz w:val="24"/>
          <w:szCs w:val="24"/>
        </w:rPr>
      </w:pPr>
    </w:p>
    <w:p w14:paraId="40447BA8" w14:textId="35F9B714" w:rsidR="00A05944" w:rsidRDefault="008837AE" w:rsidP="00687CE6">
      <w:pPr>
        <w:spacing w:line="240" w:lineRule="auto"/>
        <w:rPr>
          <w:rFonts w:cstheme="minorHAnsi"/>
          <w:sz w:val="24"/>
          <w:szCs w:val="24"/>
        </w:rPr>
      </w:pPr>
      <w:r w:rsidRPr="001031C3">
        <w:rPr>
          <w:rFonts w:cstheme="minorHAnsi"/>
          <w:sz w:val="24"/>
          <w:szCs w:val="24"/>
        </w:rPr>
        <w:t xml:space="preserve"> </w:t>
      </w:r>
    </w:p>
    <w:p w14:paraId="79C2CC5D" w14:textId="1A2B4BE8" w:rsidR="00976D8A" w:rsidRDefault="00976D8A" w:rsidP="00976D8A">
      <w:pPr>
        <w:spacing w:before="120" w:after="120" w:line="240" w:lineRule="auto"/>
        <w:rPr>
          <w:rFonts w:eastAsia="Calibri" w:cstheme="minorHAnsi"/>
          <w:color w:val="000000" w:themeColor="text1"/>
          <w:sz w:val="24"/>
          <w:szCs w:val="24"/>
        </w:rPr>
      </w:pPr>
      <w:r w:rsidRPr="001031C3">
        <w:rPr>
          <w:rFonts w:eastAsia="Calibri" w:cstheme="minorHAnsi"/>
          <w:color w:val="000000" w:themeColor="text1"/>
          <w:sz w:val="24"/>
          <w:szCs w:val="24"/>
        </w:rPr>
        <w:lastRenderedPageBreak/>
        <w:t xml:space="preserve">The Commission on Teacher Credentialing has illustrated changes to the original text in the following manner: text originally proposed to be added is </w:t>
      </w:r>
      <w:r w:rsidRPr="001031C3">
        <w:rPr>
          <w:rFonts w:eastAsia="Calibri" w:cstheme="minorHAnsi"/>
          <w:color w:val="000000" w:themeColor="text1"/>
          <w:sz w:val="24"/>
          <w:szCs w:val="24"/>
          <w:u w:val="single"/>
        </w:rPr>
        <w:t>underlined</w:t>
      </w:r>
      <w:r w:rsidRPr="001031C3">
        <w:rPr>
          <w:rFonts w:eastAsia="Calibri" w:cstheme="minorHAnsi"/>
          <w:color w:val="000000" w:themeColor="text1"/>
          <w:sz w:val="24"/>
          <w:szCs w:val="24"/>
        </w:rPr>
        <w:t xml:space="preserve">; text proposed to be deleted is displayed in </w:t>
      </w:r>
      <w:r w:rsidRPr="001031C3">
        <w:rPr>
          <w:rFonts w:eastAsia="Calibri" w:cstheme="minorHAnsi"/>
          <w:strike/>
          <w:color w:val="000000" w:themeColor="text1"/>
          <w:sz w:val="24"/>
          <w:szCs w:val="24"/>
        </w:rPr>
        <w:t>strikeout</w:t>
      </w:r>
      <w:r w:rsidRPr="001031C3">
        <w:rPr>
          <w:rFonts w:eastAsia="Calibri" w:cstheme="minorHAnsi"/>
          <w:color w:val="000000" w:themeColor="text1"/>
          <w:sz w:val="24"/>
          <w:szCs w:val="24"/>
        </w:rPr>
        <w:t xml:space="preserve">. Text proposed to be deleted in this notice is shown in </w:t>
      </w:r>
      <w:r w:rsidRPr="001031C3">
        <w:rPr>
          <w:rFonts w:eastAsia="Calibri" w:cstheme="minorHAnsi"/>
          <w:dstrike/>
          <w:color w:val="000000" w:themeColor="text1"/>
          <w:sz w:val="24"/>
          <w:szCs w:val="24"/>
        </w:rPr>
        <w:t>double strikethrough</w:t>
      </w:r>
      <w:r w:rsidRPr="001031C3">
        <w:rPr>
          <w:rFonts w:eastAsia="Calibri" w:cstheme="minorHAnsi"/>
          <w:color w:val="000000" w:themeColor="text1"/>
          <w:sz w:val="24"/>
          <w:szCs w:val="24"/>
        </w:rPr>
        <w:t xml:space="preserve">; text proposed to be added is shown in </w:t>
      </w:r>
      <w:r w:rsidRPr="001031C3">
        <w:rPr>
          <w:rFonts w:eastAsia="Calibri" w:cstheme="minorHAnsi"/>
          <w:color w:val="000000" w:themeColor="text1"/>
          <w:sz w:val="24"/>
          <w:szCs w:val="24"/>
          <w:u w:val="double"/>
        </w:rPr>
        <w:t>double underline</w:t>
      </w:r>
      <w:r w:rsidRPr="001031C3">
        <w:rPr>
          <w:rFonts w:eastAsia="Calibri" w:cstheme="minorHAnsi"/>
          <w:color w:val="000000" w:themeColor="text1"/>
          <w:sz w:val="24"/>
          <w:szCs w:val="24"/>
        </w:rPr>
        <w:t>.</w:t>
      </w:r>
    </w:p>
    <w:p w14:paraId="11608C51" w14:textId="4127162E" w:rsidR="00E50FEB" w:rsidRPr="00FA284F" w:rsidRDefault="00E50FEB" w:rsidP="00E50FEB">
      <w:pPr>
        <w:spacing w:after="0"/>
        <w:rPr>
          <w:rFonts w:ascii="Calibri" w:eastAsia="Calibri" w:hAnsi="Calibri" w:cs="Calibri"/>
        </w:rPr>
      </w:pPr>
    </w:p>
    <w:p w14:paraId="2E3F41BC" w14:textId="77777777" w:rsidR="00593933" w:rsidRPr="00593933" w:rsidRDefault="00593933" w:rsidP="00593933">
      <w:pPr>
        <w:spacing w:after="0"/>
        <w:jc w:val="center"/>
        <w:outlineLvl w:val="0"/>
        <w:rPr>
          <w:rFonts w:ascii="Calibri" w:eastAsia="Calibri" w:hAnsi="Calibri" w:cs="Calibri"/>
          <w:b/>
          <w:sz w:val="24"/>
          <w:szCs w:val="24"/>
        </w:rPr>
      </w:pPr>
      <w:r w:rsidRPr="00593933">
        <w:rPr>
          <w:rFonts w:ascii="Calibri" w:eastAsia="Calibri" w:hAnsi="Calibri" w:cs="Calibri"/>
          <w:b/>
          <w:sz w:val="24"/>
          <w:szCs w:val="24"/>
        </w:rPr>
        <w:t>CALIFORNIA CODE OF REGULATIONS</w:t>
      </w:r>
    </w:p>
    <w:p w14:paraId="4BC995A6" w14:textId="77777777" w:rsidR="00593933" w:rsidRPr="00593933" w:rsidRDefault="00593933" w:rsidP="00593933">
      <w:pPr>
        <w:spacing w:after="0"/>
        <w:jc w:val="center"/>
        <w:outlineLvl w:val="1"/>
        <w:rPr>
          <w:rFonts w:ascii="Calibri" w:eastAsia="Calibri" w:hAnsi="Calibri" w:cs="Calibri"/>
          <w:b/>
          <w:sz w:val="24"/>
          <w:szCs w:val="24"/>
        </w:rPr>
      </w:pPr>
      <w:r w:rsidRPr="00593933">
        <w:rPr>
          <w:rFonts w:ascii="Calibri" w:eastAsia="Calibri" w:hAnsi="Calibri" w:cs="Calibri"/>
          <w:b/>
          <w:sz w:val="24"/>
          <w:szCs w:val="24"/>
        </w:rPr>
        <w:t>TITLE 5. EDUCATION</w:t>
      </w:r>
    </w:p>
    <w:p w14:paraId="0F7EDEAB" w14:textId="77777777" w:rsidR="00593933" w:rsidRPr="00593933" w:rsidRDefault="00593933" w:rsidP="00593933">
      <w:pPr>
        <w:spacing w:after="0"/>
        <w:jc w:val="center"/>
        <w:outlineLvl w:val="1"/>
        <w:rPr>
          <w:rFonts w:ascii="Calibri" w:eastAsia="Calibri" w:hAnsi="Calibri" w:cs="Calibri"/>
          <w:b/>
          <w:sz w:val="24"/>
          <w:szCs w:val="24"/>
        </w:rPr>
      </w:pPr>
      <w:r w:rsidRPr="00593933">
        <w:rPr>
          <w:rFonts w:ascii="Calibri" w:eastAsia="Calibri" w:hAnsi="Calibri" w:cs="Calibri"/>
          <w:b/>
          <w:sz w:val="24"/>
          <w:szCs w:val="24"/>
        </w:rPr>
        <w:t>DIVISION 8. COMMISSION ON TEACHER CREDENTIALING</w:t>
      </w:r>
    </w:p>
    <w:p w14:paraId="1131060A" w14:textId="77777777" w:rsidR="00593933" w:rsidRPr="00593933" w:rsidRDefault="00593933" w:rsidP="00593933">
      <w:pPr>
        <w:spacing w:after="0"/>
        <w:jc w:val="center"/>
        <w:outlineLvl w:val="2"/>
        <w:rPr>
          <w:rFonts w:ascii="Calibri" w:eastAsia="Calibri" w:hAnsi="Calibri" w:cs="Calibri"/>
          <w:b/>
          <w:sz w:val="24"/>
          <w:szCs w:val="24"/>
        </w:rPr>
      </w:pPr>
      <w:r w:rsidRPr="00593933">
        <w:rPr>
          <w:rFonts w:ascii="Calibri" w:eastAsia="Calibri" w:hAnsi="Calibri" w:cs="Calibri"/>
          <w:b/>
          <w:sz w:val="24"/>
          <w:szCs w:val="24"/>
        </w:rPr>
        <w:t>CHAPTER 1. Credential Issued Under the Teacher Preparation and Licensing Law of 1970</w:t>
      </w:r>
    </w:p>
    <w:p w14:paraId="20C15ECA" w14:textId="77777777" w:rsidR="00593933" w:rsidRPr="00593933" w:rsidRDefault="00593933" w:rsidP="00593933">
      <w:pPr>
        <w:spacing w:after="0"/>
        <w:jc w:val="center"/>
        <w:outlineLvl w:val="2"/>
        <w:rPr>
          <w:rFonts w:ascii="Calibri" w:eastAsia="Calibri" w:hAnsi="Calibri" w:cs="Calibri"/>
          <w:b/>
          <w:sz w:val="24"/>
          <w:szCs w:val="24"/>
        </w:rPr>
      </w:pPr>
      <w:r w:rsidRPr="00593933">
        <w:rPr>
          <w:rFonts w:ascii="Calibri" w:eastAsia="Calibri" w:hAnsi="Calibri" w:cs="Calibri"/>
          <w:b/>
          <w:sz w:val="24"/>
          <w:szCs w:val="24"/>
        </w:rPr>
        <w:t>Article 3. Examinations and Subject Matter</w:t>
      </w:r>
    </w:p>
    <w:p w14:paraId="6A812439" w14:textId="77777777" w:rsidR="00E50FEB" w:rsidRDefault="00E50FEB" w:rsidP="00E50FEB"/>
    <w:p w14:paraId="775780B6" w14:textId="77777777" w:rsidR="00E50FEB" w:rsidRPr="00100A24" w:rsidRDefault="00E50FEB" w:rsidP="00E50FEB">
      <w:pPr>
        <w:spacing w:after="0" w:line="240" w:lineRule="auto"/>
        <w:rPr>
          <w:u w:val="single"/>
        </w:rPr>
      </w:pPr>
      <w:r w:rsidRPr="00100A24">
        <w:rPr>
          <w:u w:val="single"/>
        </w:rPr>
        <w:t>§80096. Determination of Subject Matter Competency</w:t>
      </w:r>
    </w:p>
    <w:p w14:paraId="72F1B66F" w14:textId="77777777" w:rsidR="00E50FEB" w:rsidRPr="00100A24" w:rsidRDefault="00E50FEB" w:rsidP="00E50FEB">
      <w:pPr>
        <w:spacing w:after="0" w:line="240" w:lineRule="auto"/>
        <w:rPr>
          <w:u w:val="single"/>
        </w:rPr>
      </w:pPr>
      <w:r w:rsidRPr="00100A24">
        <w:rPr>
          <w:u w:val="single"/>
        </w:rPr>
        <w:t xml:space="preserve">(a) When reviewing official transcripts for subject matter competency under sections 44259(b)(5)(A)(iii) and (v) of the Education Code, acceptable coursework shall be defined as: </w:t>
      </w:r>
    </w:p>
    <w:p w14:paraId="3DF0A4F4" w14:textId="77777777" w:rsidR="00E50FEB" w:rsidRPr="00100A24" w:rsidRDefault="00E50FEB" w:rsidP="00E50FEB">
      <w:pPr>
        <w:spacing w:after="0" w:line="240" w:lineRule="auto"/>
        <w:ind w:left="720"/>
        <w:rPr>
          <w:u w:val="single"/>
        </w:rPr>
      </w:pPr>
      <w:r w:rsidRPr="00100A24">
        <w:rPr>
          <w:u w:val="single"/>
        </w:rPr>
        <w:t xml:space="preserve">(1) Coursework earned with a grade of “C” or higher. Courses earned with “Pass,” “Credit,” or another designation deemed by the institution of higher education to be equivalent to a grade “C” or higher is also acceptable. </w:t>
      </w:r>
    </w:p>
    <w:p w14:paraId="53F4FC61" w14:textId="77777777" w:rsidR="00E50FEB" w:rsidRPr="00100A24" w:rsidRDefault="00E50FEB" w:rsidP="00E50FEB">
      <w:pPr>
        <w:spacing w:after="0" w:line="240" w:lineRule="auto"/>
        <w:ind w:left="720"/>
        <w:rPr>
          <w:u w:val="single"/>
        </w:rPr>
      </w:pPr>
      <w:r w:rsidRPr="00100A24">
        <w:rPr>
          <w:u w:val="single"/>
        </w:rPr>
        <w:t xml:space="preserve">(2) Coursework that is degree-applicable to an Associate or higher degree and credit bearing. Remedial coursework is not acceptable. </w:t>
      </w:r>
    </w:p>
    <w:p w14:paraId="788309F9" w14:textId="77777777" w:rsidR="00E50FEB" w:rsidRPr="00100A24" w:rsidRDefault="00E50FEB" w:rsidP="00E50FEB">
      <w:pPr>
        <w:spacing w:after="0" w:line="240" w:lineRule="auto"/>
        <w:ind w:left="720"/>
        <w:rPr>
          <w:u w:val="single"/>
        </w:rPr>
      </w:pPr>
      <w:r w:rsidRPr="00100A24">
        <w:rPr>
          <w:u w:val="single"/>
        </w:rPr>
        <w:t xml:space="preserve">(3) Coursework that was completed at a regionally accredited institution of higher education. </w:t>
      </w:r>
    </w:p>
    <w:p w14:paraId="56229582" w14:textId="77777777" w:rsidR="00E50FEB" w:rsidRPr="00100A24" w:rsidRDefault="00E50FEB" w:rsidP="00E50FEB">
      <w:pPr>
        <w:spacing w:after="0" w:line="240" w:lineRule="auto"/>
        <w:ind w:left="720"/>
        <w:rPr>
          <w:u w:val="single"/>
        </w:rPr>
      </w:pPr>
      <w:r w:rsidRPr="00100A24">
        <w:rPr>
          <w:u w:val="single"/>
        </w:rPr>
        <w:t xml:space="preserve">(4) Upper division or graduate coursework that exceeds one or more subject matter </w:t>
      </w:r>
      <w:proofErr w:type="gramStart"/>
      <w:r w:rsidRPr="00100A24">
        <w:rPr>
          <w:u w:val="single"/>
        </w:rPr>
        <w:t>domain, if</w:t>
      </w:r>
      <w:proofErr w:type="gramEnd"/>
      <w:r w:rsidRPr="00100A24">
        <w:rPr>
          <w:u w:val="single"/>
        </w:rPr>
        <w:t xml:space="preserve"> the course content requires existing knowledge of the subject matter domain.</w:t>
      </w:r>
    </w:p>
    <w:p w14:paraId="07CE8667" w14:textId="77777777" w:rsidR="00E50FEB" w:rsidRPr="00100A24" w:rsidRDefault="00E50FEB" w:rsidP="00E50FEB">
      <w:pPr>
        <w:spacing w:after="0" w:line="240" w:lineRule="auto"/>
        <w:rPr>
          <w:u w:val="single"/>
        </w:rPr>
      </w:pPr>
      <w:r w:rsidRPr="00100A24">
        <w:rPr>
          <w:u w:val="single"/>
        </w:rPr>
        <w:t xml:space="preserve">(b) When reviewing official transcripts for subject matter competency for a Single Subject Credential under section 44259(b)(5)(A)(iv)(I) of the Education Code, a major in one of the subject areas in which the commission credentials candidates shall mean that the name of the credential is in the name of the major or degree and the following: </w:t>
      </w:r>
    </w:p>
    <w:p w14:paraId="1906DFA8" w14:textId="77777777" w:rsidR="00E50FEB" w:rsidRPr="00100A24" w:rsidRDefault="00E50FEB" w:rsidP="00E50FEB">
      <w:pPr>
        <w:spacing w:after="0" w:line="240" w:lineRule="auto"/>
        <w:ind w:left="720"/>
        <w:rPr>
          <w:u w:val="single"/>
        </w:rPr>
      </w:pPr>
      <w:r w:rsidRPr="00100A24">
        <w:rPr>
          <w:u w:val="single"/>
        </w:rPr>
        <w:t xml:space="preserve">(1) For the single subject area World Language: English Language Development, a major in English Language Development (ELD), Teaching English to Speakers of Another Language (TESOL), Teaching English as a Foreign Language (TEFL), or a similar major. </w:t>
      </w:r>
    </w:p>
    <w:p w14:paraId="37BEF963" w14:textId="77777777" w:rsidR="00E50FEB" w:rsidRPr="00100A24" w:rsidRDefault="00E50FEB" w:rsidP="00E50FEB">
      <w:pPr>
        <w:spacing w:after="0" w:line="240" w:lineRule="auto"/>
        <w:ind w:left="720"/>
        <w:rPr>
          <w:u w:val="single"/>
        </w:rPr>
      </w:pPr>
      <w:r w:rsidRPr="00100A24">
        <w:rPr>
          <w:u w:val="single"/>
        </w:rPr>
        <w:t xml:space="preserve">(2) For the single subject area of Home Economics, a major in family and consumer science. </w:t>
      </w:r>
    </w:p>
    <w:p w14:paraId="34721E23" w14:textId="77777777" w:rsidR="00E50FEB" w:rsidRPr="00100A24" w:rsidRDefault="00E50FEB" w:rsidP="00E50FEB">
      <w:pPr>
        <w:spacing w:after="0" w:line="240" w:lineRule="auto"/>
        <w:ind w:left="720"/>
        <w:rPr>
          <w:u w:val="single"/>
        </w:rPr>
      </w:pPr>
      <w:r w:rsidRPr="00100A24">
        <w:rPr>
          <w:u w:val="single"/>
        </w:rPr>
        <w:t xml:space="preserve">(3) For the single subject area of Math, a major in statistics. </w:t>
      </w:r>
    </w:p>
    <w:p w14:paraId="18FAF005" w14:textId="77777777" w:rsidR="00E50FEB" w:rsidRPr="00100A24" w:rsidRDefault="00E50FEB" w:rsidP="00E50FEB">
      <w:pPr>
        <w:spacing w:after="0" w:line="240" w:lineRule="auto"/>
        <w:ind w:left="720"/>
        <w:rPr>
          <w:u w:val="single"/>
        </w:rPr>
      </w:pPr>
      <w:r w:rsidRPr="00100A24">
        <w:rPr>
          <w:u w:val="single"/>
        </w:rPr>
        <w:t xml:space="preserve">(4) For the Biological Science credential, a major in biology, biological engineering, or biochemistry. </w:t>
      </w:r>
    </w:p>
    <w:p w14:paraId="6DD6B858" w14:textId="77777777" w:rsidR="00E50FEB" w:rsidRPr="00100A24" w:rsidRDefault="00E50FEB" w:rsidP="00E50FEB">
      <w:pPr>
        <w:spacing w:after="0" w:line="240" w:lineRule="auto"/>
        <w:ind w:left="720"/>
        <w:rPr>
          <w:u w:val="single"/>
        </w:rPr>
      </w:pPr>
      <w:r w:rsidRPr="00100A24">
        <w:rPr>
          <w:u w:val="single"/>
        </w:rPr>
        <w:t xml:space="preserve">(5) For the Chemistry credential, a major in chemical engineering or biochemistry. </w:t>
      </w:r>
    </w:p>
    <w:p w14:paraId="616B0193" w14:textId="77777777" w:rsidR="00E50FEB" w:rsidRPr="00100A24" w:rsidRDefault="00E50FEB" w:rsidP="00E50FEB">
      <w:pPr>
        <w:spacing w:after="0" w:line="240" w:lineRule="auto"/>
        <w:ind w:left="720"/>
        <w:rPr>
          <w:u w:val="single"/>
        </w:rPr>
      </w:pPr>
      <w:r w:rsidRPr="00100A24">
        <w:rPr>
          <w:u w:val="single"/>
        </w:rPr>
        <w:t xml:space="preserve">(6) For the Geoscience credential, a major in geology or earth science. </w:t>
      </w:r>
    </w:p>
    <w:p w14:paraId="61285D1C" w14:textId="77777777" w:rsidR="00E50FEB" w:rsidRPr="00100A24" w:rsidRDefault="00E50FEB" w:rsidP="00E50FEB">
      <w:pPr>
        <w:spacing w:after="0" w:line="240" w:lineRule="auto"/>
        <w:ind w:left="720"/>
        <w:rPr>
          <w:u w:val="single"/>
        </w:rPr>
      </w:pPr>
      <w:r w:rsidRPr="00100A24">
        <w:rPr>
          <w:u w:val="single"/>
        </w:rPr>
        <w:t xml:space="preserve">(7) For the Physics credential, a major in mechanical or structural engineering. </w:t>
      </w:r>
    </w:p>
    <w:p w14:paraId="6488ECE9" w14:textId="1276AE3C" w:rsidR="00E50FEB" w:rsidRPr="00100A24" w:rsidRDefault="00E50FEB" w:rsidP="00E50FEB">
      <w:pPr>
        <w:spacing w:after="0" w:line="240" w:lineRule="auto"/>
        <w:ind w:left="720"/>
        <w:rPr>
          <w:u w:val="single"/>
        </w:rPr>
      </w:pPr>
      <w:r w:rsidRPr="00100A24">
        <w:rPr>
          <w:u w:val="single"/>
        </w:rPr>
        <w:t>(8) For the Foundational-Level Science credential, a major in any type of engineering or any degree major offered by a college or university science department.</w:t>
      </w:r>
      <w:r w:rsidR="00B5469E">
        <w:rPr>
          <w:u w:val="single"/>
        </w:rPr>
        <w:t xml:space="preserve"> </w:t>
      </w:r>
      <w:r w:rsidR="00B5469E" w:rsidRPr="00B5469E">
        <w:rPr>
          <w:color w:val="FFFFFF" w:themeColor="background1"/>
          <w:sz w:val="18"/>
          <w:szCs w:val="18"/>
        </w:rPr>
        <w:t>Double strikethrough begins</w:t>
      </w:r>
    </w:p>
    <w:p w14:paraId="73F59C81" w14:textId="3CD6888C" w:rsidR="00E50FEB" w:rsidRPr="00976D8A" w:rsidRDefault="00E50FEB" w:rsidP="00E50FEB">
      <w:pPr>
        <w:spacing w:after="0" w:line="240" w:lineRule="auto"/>
        <w:ind w:left="720"/>
        <w:rPr>
          <w:dstrike/>
        </w:rPr>
      </w:pPr>
      <w:r w:rsidRPr="00976D8A">
        <w:rPr>
          <w:dstrike/>
        </w:rPr>
        <w:t xml:space="preserve">(9) For the single subject area of Social Sciences, a major in history, ethnic studies, or any other major with a focus on the study of one or more related ethnicities. </w:t>
      </w:r>
      <w:r w:rsidR="00B5469E" w:rsidRPr="00B5469E">
        <w:rPr>
          <w:color w:val="FFFFFF" w:themeColor="background1"/>
          <w:sz w:val="16"/>
          <w:szCs w:val="16"/>
        </w:rPr>
        <w:t>Double strikethrough ends</w:t>
      </w:r>
    </w:p>
    <w:p w14:paraId="3081F65A" w14:textId="77777777" w:rsidR="00E50FEB" w:rsidRPr="00100A24" w:rsidRDefault="00E50FEB" w:rsidP="00E50FEB">
      <w:pPr>
        <w:spacing w:after="0" w:line="240" w:lineRule="auto"/>
        <w:rPr>
          <w:u w:val="single"/>
        </w:rPr>
      </w:pPr>
      <w:r w:rsidRPr="00100A24">
        <w:rPr>
          <w:u w:val="single"/>
        </w:rPr>
        <w:t xml:space="preserve">(c) When reviewing official transcripts for subject matter competency for a Multiple Subject Credential under section 44259(b)(5)(A)(iv)(II) of the Education Code, a liberal studies major shall mean any of the following: </w:t>
      </w:r>
    </w:p>
    <w:p w14:paraId="04D4AD58" w14:textId="77777777" w:rsidR="00E50FEB" w:rsidRPr="00100A24" w:rsidRDefault="00E50FEB" w:rsidP="00E50FEB">
      <w:pPr>
        <w:spacing w:after="0" w:line="240" w:lineRule="auto"/>
        <w:ind w:left="720"/>
        <w:rPr>
          <w:u w:val="single"/>
        </w:rPr>
      </w:pPr>
      <w:r w:rsidRPr="00100A24">
        <w:rPr>
          <w:u w:val="single"/>
        </w:rPr>
        <w:t xml:space="preserve">(1) Liberal Studies </w:t>
      </w:r>
    </w:p>
    <w:p w14:paraId="6E0AC9DB" w14:textId="77777777" w:rsidR="00E50FEB" w:rsidRPr="00100A24" w:rsidRDefault="00E50FEB" w:rsidP="00E50FEB">
      <w:pPr>
        <w:spacing w:after="0" w:line="240" w:lineRule="auto"/>
        <w:ind w:left="720"/>
        <w:rPr>
          <w:u w:val="single"/>
        </w:rPr>
      </w:pPr>
      <w:r w:rsidRPr="00100A24">
        <w:rPr>
          <w:u w:val="single"/>
        </w:rPr>
        <w:t xml:space="preserve">(2) Liberal Arts </w:t>
      </w:r>
    </w:p>
    <w:p w14:paraId="2EEEBBF0" w14:textId="77777777" w:rsidR="00E50FEB" w:rsidRPr="00100A24" w:rsidRDefault="00E50FEB" w:rsidP="00E50FEB">
      <w:pPr>
        <w:spacing w:after="0" w:line="240" w:lineRule="auto"/>
        <w:ind w:left="720"/>
        <w:rPr>
          <w:u w:val="single"/>
        </w:rPr>
      </w:pPr>
      <w:r w:rsidRPr="00100A24">
        <w:rPr>
          <w:u w:val="single"/>
        </w:rPr>
        <w:lastRenderedPageBreak/>
        <w:t>(3) Elementary Education</w:t>
      </w:r>
    </w:p>
    <w:p w14:paraId="17ACB6E3" w14:textId="77777777" w:rsidR="00E50FEB" w:rsidRPr="00100A24" w:rsidRDefault="00E50FEB" w:rsidP="00E50FEB">
      <w:pPr>
        <w:spacing w:after="0" w:line="240" w:lineRule="auto"/>
        <w:rPr>
          <w:u w:val="single"/>
        </w:rPr>
      </w:pPr>
      <w:r w:rsidRPr="00100A24">
        <w:rPr>
          <w:u w:val="single"/>
        </w:rPr>
        <w:t xml:space="preserve"> (d) When reviewing official transcripts for subject matter competency for a Multiple Subject Credential under section 44259(b)(5)(A)(iv)(II) of the Education Code for any other degree that includes coursework in the content areas pursuant to subdivision (b) of section 44282 of the Education Code, such coursework must meet the criteria set forth in subsections (a)(1), (a)(2), and (a)(3) above.</w:t>
      </w:r>
    </w:p>
    <w:p w14:paraId="57F0EDFE" w14:textId="77777777" w:rsidR="00E50FEB" w:rsidRPr="00100A24" w:rsidRDefault="00E50FEB" w:rsidP="00E50FEB">
      <w:pPr>
        <w:spacing w:after="0" w:line="240" w:lineRule="auto"/>
        <w:rPr>
          <w:u w:val="single"/>
        </w:rPr>
      </w:pPr>
      <w:r w:rsidRPr="00100A24">
        <w:rPr>
          <w:u w:val="single"/>
        </w:rPr>
        <w:t>(e) When reviewing official transcripts for an Early Childhood Education Specialist Credential under section 44265(a) of the Education Code, subject matter competency may be demonstrated by a major in Child Development, Child and Adolescent Development, Human Development, Early Childhood Education, or a similar major</w:t>
      </w:r>
      <w:r>
        <w:rPr>
          <w:u w:val="single"/>
        </w:rPr>
        <w:t>.</w:t>
      </w:r>
    </w:p>
    <w:p w14:paraId="00401888" w14:textId="50E706B5" w:rsidR="001D29F9" w:rsidRDefault="001D29F9" w:rsidP="00FC1D26">
      <w:pPr>
        <w:spacing w:line="240" w:lineRule="auto"/>
        <w:rPr>
          <w:spacing w:val="-2"/>
          <w:sz w:val="24"/>
        </w:rPr>
      </w:pPr>
    </w:p>
    <w:p w14:paraId="09D82F07" w14:textId="77777777" w:rsidR="00A81B9F" w:rsidRDefault="00A81B9F" w:rsidP="00FC1D26">
      <w:pPr>
        <w:spacing w:line="240" w:lineRule="auto"/>
        <w:rPr>
          <w:spacing w:val="-2"/>
          <w:sz w:val="24"/>
        </w:rPr>
      </w:pPr>
    </w:p>
    <w:p w14:paraId="623B1E9F" w14:textId="77777777" w:rsidR="00A81B9F" w:rsidRDefault="00A81B9F" w:rsidP="00FC1D26">
      <w:pPr>
        <w:spacing w:line="240" w:lineRule="auto"/>
        <w:rPr>
          <w:spacing w:val="-2"/>
          <w:sz w:val="24"/>
        </w:rPr>
      </w:pPr>
    </w:p>
    <w:p w14:paraId="139AEB41" w14:textId="77777777" w:rsidR="00A81B9F" w:rsidRDefault="00A81B9F" w:rsidP="00FC1D26">
      <w:pPr>
        <w:spacing w:line="240" w:lineRule="auto"/>
        <w:rPr>
          <w:spacing w:val="-2"/>
          <w:sz w:val="24"/>
        </w:rPr>
      </w:pPr>
    </w:p>
    <w:p w14:paraId="61B141EC" w14:textId="77777777" w:rsidR="00A81B9F" w:rsidRPr="00A81B9F" w:rsidRDefault="00A81B9F" w:rsidP="00FC1D26">
      <w:pPr>
        <w:spacing w:line="240" w:lineRule="auto"/>
        <w:rPr>
          <w:sz w:val="24"/>
        </w:rPr>
      </w:pPr>
    </w:p>
    <w:sectPr w:rsidR="00A81B9F" w:rsidRPr="00A81B9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1C995" w14:textId="77777777" w:rsidR="00D06694" w:rsidRDefault="00D06694" w:rsidP="00A81B9F">
      <w:pPr>
        <w:spacing w:after="0" w:line="240" w:lineRule="auto"/>
      </w:pPr>
      <w:r>
        <w:separator/>
      </w:r>
    </w:p>
  </w:endnote>
  <w:endnote w:type="continuationSeparator" w:id="0">
    <w:p w14:paraId="4F2662CF" w14:textId="77777777" w:rsidR="00D06694" w:rsidRDefault="00D06694" w:rsidP="00A81B9F">
      <w:pPr>
        <w:spacing w:after="0" w:line="240" w:lineRule="auto"/>
      </w:pPr>
      <w:r>
        <w:continuationSeparator/>
      </w:r>
    </w:p>
  </w:endnote>
  <w:endnote w:type="continuationNotice" w:id="1">
    <w:p w14:paraId="184472E9" w14:textId="77777777" w:rsidR="00D06694" w:rsidRDefault="00D06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8285" w14:textId="77777777" w:rsidR="00EA2F34" w:rsidRDefault="00000000">
    <w:pPr>
      <w:pStyle w:val="BodyText"/>
      <w:spacing w:line="14" w:lineRule="auto"/>
      <w:ind w:left="0" w:firstLine="0"/>
      <w:rPr>
        <w:sz w:val="20"/>
        <w:u w:val="none"/>
      </w:rPr>
    </w:pPr>
    <w:r>
      <w:pict w14:anchorId="23C5BE0C">
        <v:shapetype id="_x0000_t202" coordsize="21600,21600" o:spt="202" path="m,l,21600r21600,l21600,xe">
          <v:stroke joinstyle="miter"/>
          <v:path gradientshapeok="t" o:connecttype="rect"/>
        </v:shapetype>
        <v:shape id="docshape2" o:spid="_x0000_s1026" type="#_x0000_t202" style="position:absolute;margin-left:300.3pt;margin-top:743.85pt;width:12.6pt;height:13.05pt;z-index:-251658239;mso-position-horizontal-relative:page;mso-position-vertical-relative:page" filled="f" stroked="f">
          <v:textbox inset="0,0,0,0">
            <w:txbxContent>
              <w:p w14:paraId="3D944674" w14:textId="77777777" w:rsidR="00EA2F34" w:rsidRDefault="00544AC7">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15C2A" w14:textId="77777777" w:rsidR="00D06694" w:rsidRDefault="00D06694" w:rsidP="00A81B9F">
      <w:pPr>
        <w:spacing w:after="0" w:line="240" w:lineRule="auto"/>
      </w:pPr>
      <w:r>
        <w:separator/>
      </w:r>
    </w:p>
  </w:footnote>
  <w:footnote w:type="continuationSeparator" w:id="0">
    <w:p w14:paraId="6415B2C7" w14:textId="77777777" w:rsidR="00D06694" w:rsidRDefault="00D06694" w:rsidP="00A81B9F">
      <w:pPr>
        <w:spacing w:after="0" w:line="240" w:lineRule="auto"/>
      </w:pPr>
      <w:r>
        <w:continuationSeparator/>
      </w:r>
    </w:p>
  </w:footnote>
  <w:footnote w:type="continuationNotice" w:id="1">
    <w:p w14:paraId="38746224" w14:textId="77777777" w:rsidR="00D06694" w:rsidRDefault="00D066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C13B" w14:textId="77777777" w:rsidR="00EA2F34" w:rsidRDefault="00000000">
    <w:pPr>
      <w:pStyle w:val="BodyText"/>
      <w:spacing w:line="14" w:lineRule="auto"/>
      <w:ind w:left="0" w:firstLine="0"/>
      <w:rPr>
        <w:sz w:val="20"/>
        <w:u w:val="none"/>
      </w:rPr>
    </w:pPr>
    <w:r>
      <w:pict w14:anchorId="00D919F7">
        <v:shapetype id="_x0000_t202" coordsize="21600,21600" o:spt="202" path="m,l,21600r21600,l21600,xe">
          <v:stroke joinstyle="miter"/>
          <v:path gradientshapeok="t" o:connecttype="rect"/>
        </v:shapetype>
        <v:shape id="docshape1" o:spid="_x0000_s1025" type="#_x0000_t202" style="position:absolute;margin-left:71pt;margin-top:37.4pt;width:448.1pt;height:45.6pt;z-index:-251658240;mso-position-horizontal-relative:page;mso-position-vertical-relative:page" filled="f" stroked="f">
          <v:textbox inset="0,0,0,0">
            <w:txbxContent>
              <w:p w14:paraId="6E73E1A7" w14:textId="4E0000C9" w:rsidR="00EA2F34" w:rsidRDefault="00A81B9F">
                <w:pPr>
                  <w:pStyle w:val="BodyText"/>
                  <w:spacing w:before="20" w:line="256" w:lineRule="auto"/>
                  <w:ind w:left="20" w:firstLine="0"/>
                  <w:rPr>
                    <w:u w:val="none"/>
                  </w:rPr>
                </w:pPr>
                <w:r>
                  <w:rPr>
                    <w:u w:val="none"/>
                  </w:rPr>
                  <w:t xml:space="preserve">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98A"/>
    <w:multiLevelType w:val="hybridMultilevel"/>
    <w:tmpl w:val="E42E7C9A"/>
    <w:lvl w:ilvl="0" w:tplc="B7A84408">
      <w:start w:val="2"/>
      <w:numFmt w:val="decimal"/>
      <w:lvlText w:val="%1"/>
      <w:lvlJc w:val="left"/>
      <w:pPr>
        <w:ind w:left="3584" w:hanging="3347"/>
        <w:jc w:val="left"/>
      </w:pPr>
      <w:rPr>
        <w:rFonts w:ascii="Calibri" w:eastAsia="Calibri" w:hAnsi="Calibri" w:cs="Calibri" w:hint="default"/>
        <w:b w:val="0"/>
        <w:bCs w:val="0"/>
        <w:i w:val="0"/>
        <w:iCs w:val="0"/>
        <w:w w:val="100"/>
        <w:sz w:val="24"/>
        <w:szCs w:val="24"/>
        <w:lang w:val="en-US" w:eastAsia="en-US" w:bidi="ar-SA"/>
      </w:rPr>
    </w:lvl>
    <w:lvl w:ilvl="1" w:tplc="7BC01A10">
      <w:numFmt w:val="bullet"/>
      <w:lvlText w:val="•"/>
      <w:lvlJc w:val="left"/>
      <w:pPr>
        <w:ind w:left="4242" w:hanging="3347"/>
      </w:pPr>
      <w:rPr>
        <w:rFonts w:hint="default"/>
        <w:lang w:val="en-US" w:eastAsia="en-US" w:bidi="ar-SA"/>
      </w:rPr>
    </w:lvl>
    <w:lvl w:ilvl="2" w:tplc="1E7A904A">
      <w:numFmt w:val="bullet"/>
      <w:lvlText w:val="•"/>
      <w:lvlJc w:val="left"/>
      <w:pPr>
        <w:ind w:left="4904" w:hanging="3347"/>
      </w:pPr>
      <w:rPr>
        <w:rFonts w:hint="default"/>
        <w:lang w:val="en-US" w:eastAsia="en-US" w:bidi="ar-SA"/>
      </w:rPr>
    </w:lvl>
    <w:lvl w:ilvl="3" w:tplc="11483960">
      <w:numFmt w:val="bullet"/>
      <w:lvlText w:val="•"/>
      <w:lvlJc w:val="left"/>
      <w:pPr>
        <w:ind w:left="5566" w:hanging="3347"/>
      </w:pPr>
      <w:rPr>
        <w:rFonts w:hint="default"/>
        <w:lang w:val="en-US" w:eastAsia="en-US" w:bidi="ar-SA"/>
      </w:rPr>
    </w:lvl>
    <w:lvl w:ilvl="4" w:tplc="94DA0EC2">
      <w:numFmt w:val="bullet"/>
      <w:lvlText w:val="•"/>
      <w:lvlJc w:val="left"/>
      <w:pPr>
        <w:ind w:left="6228" w:hanging="3347"/>
      </w:pPr>
      <w:rPr>
        <w:rFonts w:hint="default"/>
        <w:lang w:val="en-US" w:eastAsia="en-US" w:bidi="ar-SA"/>
      </w:rPr>
    </w:lvl>
    <w:lvl w:ilvl="5" w:tplc="85C6648A">
      <w:numFmt w:val="bullet"/>
      <w:lvlText w:val="•"/>
      <w:lvlJc w:val="left"/>
      <w:pPr>
        <w:ind w:left="6890" w:hanging="3347"/>
      </w:pPr>
      <w:rPr>
        <w:rFonts w:hint="default"/>
        <w:lang w:val="en-US" w:eastAsia="en-US" w:bidi="ar-SA"/>
      </w:rPr>
    </w:lvl>
    <w:lvl w:ilvl="6" w:tplc="59441126">
      <w:numFmt w:val="bullet"/>
      <w:lvlText w:val="•"/>
      <w:lvlJc w:val="left"/>
      <w:pPr>
        <w:ind w:left="7552" w:hanging="3347"/>
      </w:pPr>
      <w:rPr>
        <w:rFonts w:hint="default"/>
        <w:lang w:val="en-US" w:eastAsia="en-US" w:bidi="ar-SA"/>
      </w:rPr>
    </w:lvl>
    <w:lvl w:ilvl="7" w:tplc="2316444C">
      <w:numFmt w:val="bullet"/>
      <w:lvlText w:val="•"/>
      <w:lvlJc w:val="left"/>
      <w:pPr>
        <w:ind w:left="8214" w:hanging="3347"/>
      </w:pPr>
      <w:rPr>
        <w:rFonts w:hint="default"/>
        <w:lang w:val="en-US" w:eastAsia="en-US" w:bidi="ar-SA"/>
      </w:rPr>
    </w:lvl>
    <w:lvl w:ilvl="8" w:tplc="6EA4196A">
      <w:numFmt w:val="bullet"/>
      <w:lvlText w:val="•"/>
      <w:lvlJc w:val="left"/>
      <w:pPr>
        <w:ind w:left="8876" w:hanging="3347"/>
      </w:pPr>
      <w:rPr>
        <w:rFonts w:hint="default"/>
        <w:lang w:val="en-US" w:eastAsia="en-US" w:bidi="ar-SA"/>
      </w:rPr>
    </w:lvl>
  </w:abstractNum>
  <w:abstractNum w:abstractNumId="1" w15:restartNumberingAfterBreak="0">
    <w:nsid w:val="5EC16AD7"/>
    <w:multiLevelType w:val="hybridMultilevel"/>
    <w:tmpl w:val="2200B11C"/>
    <w:lvl w:ilvl="0" w:tplc="281E72A2">
      <w:start w:val="8"/>
      <w:numFmt w:val="decimal"/>
      <w:lvlText w:val="%1"/>
      <w:lvlJc w:val="left"/>
      <w:pPr>
        <w:ind w:left="720" w:hanging="483"/>
        <w:jc w:val="right"/>
      </w:pPr>
      <w:rPr>
        <w:rFonts w:ascii="Calibri" w:eastAsia="Calibri" w:hAnsi="Calibri" w:cs="Calibri" w:hint="default"/>
        <w:b w:val="0"/>
        <w:bCs w:val="0"/>
        <w:i w:val="0"/>
        <w:iCs w:val="0"/>
        <w:w w:val="100"/>
        <w:sz w:val="24"/>
        <w:szCs w:val="24"/>
        <w:lang w:val="en-US" w:eastAsia="en-US" w:bidi="ar-SA"/>
      </w:rPr>
    </w:lvl>
    <w:lvl w:ilvl="1" w:tplc="2C02C026">
      <w:numFmt w:val="bullet"/>
      <w:lvlText w:val="•"/>
      <w:lvlJc w:val="left"/>
      <w:pPr>
        <w:ind w:left="1668" w:hanging="483"/>
      </w:pPr>
      <w:rPr>
        <w:rFonts w:hint="default"/>
        <w:lang w:val="en-US" w:eastAsia="en-US" w:bidi="ar-SA"/>
      </w:rPr>
    </w:lvl>
    <w:lvl w:ilvl="2" w:tplc="16D2D82E">
      <w:numFmt w:val="bullet"/>
      <w:lvlText w:val="•"/>
      <w:lvlJc w:val="left"/>
      <w:pPr>
        <w:ind w:left="2616" w:hanging="483"/>
      </w:pPr>
      <w:rPr>
        <w:rFonts w:hint="default"/>
        <w:lang w:val="en-US" w:eastAsia="en-US" w:bidi="ar-SA"/>
      </w:rPr>
    </w:lvl>
    <w:lvl w:ilvl="3" w:tplc="1CB0ECCE">
      <w:numFmt w:val="bullet"/>
      <w:lvlText w:val="•"/>
      <w:lvlJc w:val="left"/>
      <w:pPr>
        <w:ind w:left="3564" w:hanging="483"/>
      </w:pPr>
      <w:rPr>
        <w:rFonts w:hint="default"/>
        <w:lang w:val="en-US" w:eastAsia="en-US" w:bidi="ar-SA"/>
      </w:rPr>
    </w:lvl>
    <w:lvl w:ilvl="4" w:tplc="29F61FBC">
      <w:numFmt w:val="bullet"/>
      <w:lvlText w:val="•"/>
      <w:lvlJc w:val="left"/>
      <w:pPr>
        <w:ind w:left="4512" w:hanging="483"/>
      </w:pPr>
      <w:rPr>
        <w:rFonts w:hint="default"/>
        <w:lang w:val="en-US" w:eastAsia="en-US" w:bidi="ar-SA"/>
      </w:rPr>
    </w:lvl>
    <w:lvl w:ilvl="5" w:tplc="D660AFDA">
      <w:numFmt w:val="bullet"/>
      <w:lvlText w:val="•"/>
      <w:lvlJc w:val="left"/>
      <w:pPr>
        <w:ind w:left="5460" w:hanging="483"/>
      </w:pPr>
      <w:rPr>
        <w:rFonts w:hint="default"/>
        <w:lang w:val="en-US" w:eastAsia="en-US" w:bidi="ar-SA"/>
      </w:rPr>
    </w:lvl>
    <w:lvl w:ilvl="6" w:tplc="E55C9BB0">
      <w:numFmt w:val="bullet"/>
      <w:lvlText w:val="•"/>
      <w:lvlJc w:val="left"/>
      <w:pPr>
        <w:ind w:left="6408" w:hanging="483"/>
      </w:pPr>
      <w:rPr>
        <w:rFonts w:hint="default"/>
        <w:lang w:val="en-US" w:eastAsia="en-US" w:bidi="ar-SA"/>
      </w:rPr>
    </w:lvl>
    <w:lvl w:ilvl="7" w:tplc="4C70F59E">
      <w:numFmt w:val="bullet"/>
      <w:lvlText w:val="•"/>
      <w:lvlJc w:val="left"/>
      <w:pPr>
        <w:ind w:left="7356" w:hanging="483"/>
      </w:pPr>
      <w:rPr>
        <w:rFonts w:hint="default"/>
        <w:lang w:val="en-US" w:eastAsia="en-US" w:bidi="ar-SA"/>
      </w:rPr>
    </w:lvl>
    <w:lvl w:ilvl="8" w:tplc="593A7124">
      <w:numFmt w:val="bullet"/>
      <w:lvlText w:val="•"/>
      <w:lvlJc w:val="left"/>
      <w:pPr>
        <w:ind w:left="8304" w:hanging="483"/>
      </w:pPr>
      <w:rPr>
        <w:rFonts w:hint="default"/>
        <w:lang w:val="en-US" w:eastAsia="en-US" w:bidi="ar-SA"/>
      </w:rPr>
    </w:lvl>
  </w:abstractNum>
  <w:num w:numId="1" w16cid:durableId="884878055">
    <w:abstractNumId w:val="1"/>
  </w:num>
  <w:num w:numId="2" w16cid:durableId="33530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7F"/>
    <w:rsid w:val="00062ADB"/>
    <w:rsid w:val="000928FD"/>
    <w:rsid w:val="000B7F59"/>
    <w:rsid w:val="001031C3"/>
    <w:rsid w:val="00132E4D"/>
    <w:rsid w:val="00135EB1"/>
    <w:rsid w:val="00166CD0"/>
    <w:rsid w:val="00175081"/>
    <w:rsid w:val="001858DC"/>
    <w:rsid w:val="001C260B"/>
    <w:rsid w:val="001D1C7F"/>
    <w:rsid w:val="001D200E"/>
    <w:rsid w:val="001D29F9"/>
    <w:rsid w:val="001F0F31"/>
    <w:rsid w:val="00205DC0"/>
    <w:rsid w:val="00271F30"/>
    <w:rsid w:val="00281BC8"/>
    <w:rsid w:val="00324117"/>
    <w:rsid w:val="00336515"/>
    <w:rsid w:val="00336EB3"/>
    <w:rsid w:val="003438CF"/>
    <w:rsid w:val="00362E7E"/>
    <w:rsid w:val="00376F9C"/>
    <w:rsid w:val="00382DAB"/>
    <w:rsid w:val="00385244"/>
    <w:rsid w:val="003C022B"/>
    <w:rsid w:val="004A5B7F"/>
    <w:rsid w:val="004A7424"/>
    <w:rsid w:val="004C3D6B"/>
    <w:rsid w:val="004C4CD5"/>
    <w:rsid w:val="004F0AC6"/>
    <w:rsid w:val="00502124"/>
    <w:rsid w:val="0052775C"/>
    <w:rsid w:val="00544AC7"/>
    <w:rsid w:val="00557196"/>
    <w:rsid w:val="00565404"/>
    <w:rsid w:val="005900AD"/>
    <w:rsid w:val="00593933"/>
    <w:rsid w:val="005F3BC8"/>
    <w:rsid w:val="006161D8"/>
    <w:rsid w:val="006246FD"/>
    <w:rsid w:val="006677DA"/>
    <w:rsid w:val="00687CE6"/>
    <w:rsid w:val="006A6FEE"/>
    <w:rsid w:val="006C645D"/>
    <w:rsid w:val="006F3769"/>
    <w:rsid w:val="00733FFA"/>
    <w:rsid w:val="007437C2"/>
    <w:rsid w:val="00745A0D"/>
    <w:rsid w:val="007731FB"/>
    <w:rsid w:val="00790E4A"/>
    <w:rsid w:val="007C5DA0"/>
    <w:rsid w:val="007F537D"/>
    <w:rsid w:val="008348AF"/>
    <w:rsid w:val="008837AE"/>
    <w:rsid w:val="008A489D"/>
    <w:rsid w:val="008A5E11"/>
    <w:rsid w:val="00924CCF"/>
    <w:rsid w:val="009403DF"/>
    <w:rsid w:val="00976D8A"/>
    <w:rsid w:val="009A208F"/>
    <w:rsid w:val="009A41FF"/>
    <w:rsid w:val="009D511B"/>
    <w:rsid w:val="009D603F"/>
    <w:rsid w:val="009D75C4"/>
    <w:rsid w:val="00A00B5E"/>
    <w:rsid w:val="00A05944"/>
    <w:rsid w:val="00A333E7"/>
    <w:rsid w:val="00A50C92"/>
    <w:rsid w:val="00A742B3"/>
    <w:rsid w:val="00A767AC"/>
    <w:rsid w:val="00A81B9F"/>
    <w:rsid w:val="00AB343E"/>
    <w:rsid w:val="00AC3D9E"/>
    <w:rsid w:val="00B034CC"/>
    <w:rsid w:val="00B5469E"/>
    <w:rsid w:val="00B62CD6"/>
    <w:rsid w:val="00BA3300"/>
    <w:rsid w:val="00BC6A2D"/>
    <w:rsid w:val="00BC6CCE"/>
    <w:rsid w:val="00BE0B04"/>
    <w:rsid w:val="00BF3422"/>
    <w:rsid w:val="00C11E19"/>
    <w:rsid w:val="00C2068D"/>
    <w:rsid w:val="00C3571F"/>
    <w:rsid w:val="00C85BB7"/>
    <w:rsid w:val="00C93089"/>
    <w:rsid w:val="00CD5284"/>
    <w:rsid w:val="00CF02B1"/>
    <w:rsid w:val="00D06694"/>
    <w:rsid w:val="00D4422B"/>
    <w:rsid w:val="00D55D0D"/>
    <w:rsid w:val="00D94A78"/>
    <w:rsid w:val="00DF4AF3"/>
    <w:rsid w:val="00E21150"/>
    <w:rsid w:val="00E50FEB"/>
    <w:rsid w:val="00E8297C"/>
    <w:rsid w:val="00EB20ED"/>
    <w:rsid w:val="00EC3906"/>
    <w:rsid w:val="00F73BB5"/>
    <w:rsid w:val="00FB12B7"/>
    <w:rsid w:val="00FB6506"/>
    <w:rsid w:val="00FC1D26"/>
    <w:rsid w:val="00FC573D"/>
    <w:rsid w:val="00FE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F8D0F"/>
  <w15:chartTrackingRefBased/>
  <w15:docId w15:val="{D5F49E96-2D2D-4E63-B39B-E1AA6BE4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B7F"/>
    <w:pPr>
      <w:keepNext/>
      <w:spacing w:before="240" w:after="60" w:line="240" w:lineRule="auto"/>
      <w:outlineLvl w:val="0"/>
    </w:pPr>
    <w:rPr>
      <w:rFonts w:eastAsiaTheme="majorEastAsia" w:cstheme="minorHAnsi"/>
      <w:b/>
      <w:bCs/>
      <w:kern w:val="32"/>
      <w:sz w:val="32"/>
      <w:szCs w:val="32"/>
    </w:rPr>
  </w:style>
  <w:style w:type="paragraph" w:styleId="Heading2">
    <w:name w:val="heading 2"/>
    <w:basedOn w:val="Normal"/>
    <w:next w:val="Normal"/>
    <w:link w:val="Heading2Char"/>
    <w:uiPriority w:val="9"/>
    <w:unhideWhenUsed/>
    <w:qFormat/>
    <w:rsid w:val="004A5B7F"/>
    <w:pPr>
      <w:keepNext/>
      <w:keepLines/>
      <w:spacing w:before="40" w:after="0" w:line="240" w:lineRule="auto"/>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semiHidden/>
    <w:unhideWhenUsed/>
    <w:qFormat/>
    <w:rsid w:val="00E50F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B7F"/>
    <w:rPr>
      <w:rFonts w:eastAsiaTheme="majorEastAsia" w:cstheme="minorHAnsi"/>
      <w:b/>
      <w:bCs/>
      <w:kern w:val="32"/>
      <w:sz w:val="32"/>
      <w:szCs w:val="32"/>
    </w:rPr>
  </w:style>
  <w:style w:type="character" w:customStyle="1" w:styleId="Heading2Char">
    <w:name w:val="Heading 2 Char"/>
    <w:basedOn w:val="DefaultParagraphFont"/>
    <w:link w:val="Heading2"/>
    <w:uiPriority w:val="9"/>
    <w:rsid w:val="004A5B7F"/>
    <w:rPr>
      <w:rFonts w:ascii="Calibri" w:eastAsiaTheme="majorEastAsia" w:hAnsi="Calibri" w:cstheme="majorBidi"/>
      <w:b/>
      <w:sz w:val="28"/>
      <w:szCs w:val="26"/>
    </w:rPr>
  </w:style>
  <w:style w:type="paragraph" w:customStyle="1" w:styleId="Default">
    <w:name w:val="Default"/>
    <w:rsid w:val="0056540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C3D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5EB1"/>
    <w:rPr>
      <w:color w:val="0563C1" w:themeColor="hyperlink"/>
      <w:u w:val="single"/>
    </w:rPr>
  </w:style>
  <w:style w:type="character" w:styleId="UnresolvedMention">
    <w:name w:val="Unresolved Mention"/>
    <w:basedOn w:val="DefaultParagraphFont"/>
    <w:uiPriority w:val="99"/>
    <w:semiHidden/>
    <w:unhideWhenUsed/>
    <w:rsid w:val="00135EB1"/>
    <w:rPr>
      <w:color w:val="605E5C"/>
      <w:shd w:val="clear" w:color="auto" w:fill="E1DFDD"/>
    </w:rPr>
  </w:style>
  <w:style w:type="paragraph" w:styleId="BodyText">
    <w:name w:val="Body Text"/>
    <w:basedOn w:val="Normal"/>
    <w:link w:val="BodyTextChar"/>
    <w:uiPriority w:val="1"/>
    <w:qFormat/>
    <w:rsid w:val="00FC1D26"/>
    <w:pPr>
      <w:widowControl w:val="0"/>
      <w:autoSpaceDE w:val="0"/>
      <w:autoSpaceDN w:val="0"/>
      <w:spacing w:after="0" w:line="240" w:lineRule="auto"/>
      <w:ind w:left="1440" w:hanging="1326"/>
    </w:pPr>
    <w:rPr>
      <w:rFonts w:ascii="Calibri" w:eastAsia="Calibri" w:hAnsi="Calibri" w:cs="Calibri"/>
      <w:sz w:val="24"/>
      <w:szCs w:val="24"/>
      <w:u w:val="single" w:color="000000"/>
    </w:rPr>
  </w:style>
  <w:style w:type="character" w:customStyle="1" w:styleId="BodyTextChar">
    <w:name w:val="Body Text Char"/>
    <w:basedOn w:val="DefaultParagraphFont"/>
    <w:link w:val="BodyText"/>
    <w:uiPriority w:val="1"/>
    <w:rsid w:val="00FC1D26"/>
    <w:rPr>
      <w:rFonts w:ascii="Calibri" w:eastAsia="Calibri" w:hAnsi="Calibri" w:cs="Calibri"/>
      <w:sz w:val="24"/>
      <w:szCs w:val="24"/>
      <w:u w:val="single" w:color="000000"/>
    </w:rPr>
  </w:style>
  <w:style w:type="paragraph" w:styleId="ListParagraph">
    <w:name w:val="List Paragraph"/>
    <w:basedOn w:val="Normal"/>
    <w:uiPriority w:val="1"/>
    <w:qFormat/>
    <w:rsid w:val="00FC1D26"/>
    <w:pPr>
      <w:widowControl w:val="0"/>
      <w:autoSpaceDE w:val="0"/>
      <w:autoSpaceDN w:val="0"/>
      <w:spacing w:after="0" w:line="240" w:lineRule="auto"/>
      <w:ind w:left="1440" w:hanging="1326"/>
    </w:pPr>
    <w:rPr>
      <w:rFonts w:ascii="Calibri" w:eastAsia="Calibri" w:hAnsi="Calibri" w:cs="Calibri"/>
      <w:u w:val="single" w:color="000000"/>
    </w:rPr>
  </w:style>
  <w:style w:type="character" w:styleId="FollowedHyperlink">
    <w:name w:val="FollowedHyperlink"/>
    <w:basedOn w:val="DefaultParagraphFont"/>
    <w:uiPriority w:val="99"/>
    <w:semiHidden/>
    <w:unhideWhenUsed/>
    <w:rsid w:val="00745A0D"/>
    <w:rPr>
      <w:color w:val="954F72" w:themeColor="followedHyperlink"/>
      <w:u w:val="single"/>
    </w:rPr>
  </w:style>
  <w:style w:type="paragraph" w:styleId="Header">
    <w:name w:val="header"/>
    <w:basedOn w:val="Normal"/>
    <w:link w:val="HeaderChar"/>
    <w:uiPriority w:val="99"/>
    <w:unhideWhenUsed/>
    <w:rsid w:val="00A81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B9F"/>
  </w:style>
  <w:style w:type="paragraph" w:styleId="Footer">
    <w:name w:val="footer"/>
    <w:basedOn w:val="Normal"/>
    <w:link w:val="FooterChar"/>
    <w:uiPriority w:val="99"/>
    <w:unhideWhenUsed/>
    <w:rsid w:val="00A81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B9F"/>
  </w:style>
  <w:style w:type="character" w:customStyle="1" w:styleId="Heading3Char">
    <w:name w:val="Heading 3 Char"/>
    <w:basedOn w:val="DefaultParagraphFont"/>
    <w:link w:val="Heading3"/>
    <w:uiPriority w:val="9"/>
    <w:semiHidden/>
    <w:rsid w:val="00E50FE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87613">
      <w:bodyDiv w:val="1"/>
      <w:marLeft w:val="0"/>
      <w:marRight w:val="0"/>
      <w:marTop w:val="0"/>
      <w:marBottom w:val="0"/>
      <w:divBdr>
        <w:top w:val="none" w:sz="0" w:space="0" w:color="auto"/>
        <w:left w:val="none" w:sz="0" w:space="0" w:color="auto"/>
        <w:bottom w:val="none" w:sz="0" w:space="0" w:color="auto"/>
        <w:right w:val="none" w:sz="0" w:space="0" w:color="auto"/>
      </w:divBdr>
    </w:div>
    <w:div w:id="6975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tc.ca.gov/docs/default-source/commission/agendas/2022-12/2022-12-1h.pdf?sfvrsn=6cab26b1_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tc.ca.gov/docs/default-source/commission/agendas/2022-12/2022-12-1h.pdf?sfvrsn=6cab26b1_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tc.ca.gov/docs/default-source/commission/agendas/2022-12/2022-12-1h.pdf?sfvrsn=6cab26b1_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ynette.Roby@ctc.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BBF7A-2E4F-4B66-95A9-74AEC49A0483}">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2.xml><?xml version="1.0" encoding="utf-8"?>
<ds:datastoreItem xmlns:ds="http://schemas.openxmlformats.org/officeDocument/2006/customXml" ds:itemID="{D33EB32D-5506-4A72-99B8-AD5566AE9DB3}">
  <ds:schemaRefs>
    <ds:schemaRef ds:uri="http://schemas.microsoft.com/sharepoint/v3/contenttype/forms"/>
  </ds:schemaRefs>
</ds:datastoreItem>
</file>

<file path=customXml/itemProps3.xml><?xml version="1.0" encoding="utf-8"?>
<ds:datastoreItem xmlns:ds="http://schemas.openxmlformats.org/officeDocument/2006/customXml" ds:itemID="{7FBCA166-97BE-49D5-B3A1-0AD4DA0A2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 Lynette</dc:creator>
  <cp:keywords/>
  <dc:description/>
  <cp:lastModifiedBy>Hu, Brendan</cp:lastModifiedBy>
  <cp:revision>99</cp:revision>
  <dcterms:created xsi:type="dcterms:W3CDTF">2022-12-09T21:18:00Z</dcterms:created>
  <dcterms:modified xsi:type="dcterms:W3CDTF">2022-12-19T21:37:00Z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MediaServiceImageTags">
    <vt:lpwstr/>
  </property>
</Properties>
</file>