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D8682" w14:textId="77777777" w:rsidR="00A3115B" w:rsidRPr="00DB15E7" w:rsidRDefault="00A3115B" w:rsidP="00283BB9">
      <w:pPr>
        <w:pStyle w:val="Heading1"/>
        <w:spacing w:before="100" w:beforeAutospacing="1"/>
      </w:pPr>
      <w:r w:rsidRPr="00DB15E7">
        <w:t xml:space="preserve">SB 1292 </w:t>
      </w:r>
      <w:r w:rsidR="003228AA" w:rsidRPr="00DB15E7">
        <w:t>Guidelines Alignment Matrix</w:t>
      </w:r>
    </w:p>
    <w:p w14:paraId="183E113B" w14:textId="77777777" w:rsidR="00754CF6" w:rsidRPr="008556F3" w:rsidRDefault="00282317">
      <w:pPr>
        <w:jc w:val="center"/>
      </w:pPr>
      <w:r w:rsidRPr="008556F3">
        <w:t>Guidelines for Certificate of Completion of Staff Development</w:t>
      </w:r>
    </w:p>
    <w:p w14:paraId="0422C942" w14:textId="41345ED0" w:rsidR="00870C6D" w:rsidRPr="00283BB9" w:rsidRDefault="00283BB9" w:rsidP="00283BB9">
      <w:pPr>
        <w:spacing w:after="240"/>
        <w:jc w:val="center"/>
      </w:pPr>
      <w:r w:rsidRPr="008556F3">
        <w:t>45-hour</w:t>
      </w:r>
      <w:r w:rsidR="00282317" w:rsidRPr="008556F3">
        <w:t xml:space="preserve"> program</w:t>
      </w:r>
      <w:r w:rsidR="00A3115B" w:rsidRPr="008556F3">
        <w:t xml:space="preserve"> (</w:t>
      </w:r>
      <w:r w:rsidR="008556F3">
        <w:t xml:space="preserve">CTEL </w:t>
      </w:r>
      <w:r w:rsidR="00A3115B" w:rsidRPr="008556F3">
        <w:t>Coursework equivalency)</w:t>
      </w:r>
    </w:p>
    <w:p w14:paraId="458FA751" w14:textId="77777777" w:rsidR="00282317" w:rsidRPr="008556F3" w:rsidRDefault="003228AA" w:rsidP="003228AA">
      <w:pPr>
        <w:ind w:left="360"/>
        <w:rPr>
          <w:bCs/>
          <w:color w:val="000000"/>
        </w:rPr>
      </w:pPr>
      <w:r w:rsidRPr="008556F3">
        <w:t xml:space="preserve">Guideline 3:  </w:t>
      </w:r>
      <w:r w:rsidR="00870C6D" w:rsidRPr="008556F3">
        <w:t>Foundational Knowledge</w:t>
      </w:r>
      <w:r w:rsidR="00282317" w:rsidRPr="008556F3">
        <w:rPr>
          <w:bCs/>
          <w:color w:val="000000"/>
        </w:rPr>
        <w:t xml:space="preserve"> </w:t>
      </w:r>
    </w:p>
    <w:p w14:paraId="3312AD10" w14:textId="77777777" w:rsidR="00282317" w:rsidRPr="008556F3" w:rsidRDefault="00282317" w:rsidP="003228AA">
      <w:pPr>
        <w:numPr>
          <w:ilvl w:val="1"/>
          <w:numId w:val="14"/>
        </w:numPr>
        <w:rPr>
          <w:bCs/>
          <w:color w:val="000000"/>
        </w:rPr>
      </w:pPr>
      <w:r w:rsidRPr="008556F3">
        <w:rPr>
          <w:bCs/>
          <w:color w:val="000000"/>
        </w:rPr>
        <w:t xml:space="preserve"> Instructional Content</w:t>
      </w:r>
    </w:p>
    <w:p w14:paraId="6E860218" w14:textId="77777777" w:rsidR="00282317" w:rsidRPr="008556F3" w:rsidRDefault="00282317" w:rsidP="003228AA">
      <w:pPr>
        <w:numPr>
          <w:ilvl w:val="1"/>
          <w:numId w:val="14"/>
        </w:numPr>
        <w:rPr>
          <w:bCs/>
          <w:color w:val="000000"/>
        </w:rPr>
      </w:pPr>
      <w:r w:rsidRPr="008556F3">
        <w:rPr>
          <w:bCs/>
          <w:color w:val="000000"/>
        </w:rPr>
        <w:t>Participant Competence</w:t>
      </w:r>
    </w:p>
    <w:p w14:paraId="260B5745" w14:textId="77777777" w:rsidR="00282317" w:rsidRPr="008556F3" w:rsidRDefault="003228AA" w:rsidP="003228AA">
      <w:pPr>
        <w:ind w:left="360"/>
        <w:rPr>
          <w:bCs/>
          <w:color w:val="000000"/>
        </w:rPr>
      </w:pPr>
      <w:r w:rsidRPr="008556F3">
        <w:rPr>
          <w:bCs/>
          <w:color w:val="000000"/>
        </w:rPr>
        <w:t xml:space="preserve">Guideline 4:  </w:t>
      </w:r>
      <w:r w:rsidR="00282317" w:rsidRPr="008556F3">
        <w:rPr>
          <w:bCs/>
          <w:color w:val="000000"/>
        </w:rPr>
        <w:t xml:space="preserve">Planning and Delivering Appropriate Instruction Based on Assessment Data </w:t>
      </w:r>
    </w:p>
    <w:p w14:paraId="1C1FB1FC" w14:textId="77777777" w:rsidR="00282317" w:rsidRPr="008556F3" w:rsidRDefault="003228AA" w:rsidP="003228AA">
      <w:pPr>
        <w:numPr>
          <w:ilvl w:val="0"/>
          <w:numId w:val="15"/>
        </w:numPr>
        <w:rPr>
          <w:bCs/>
          <w:color w:val="000000"/>
        </w:rPr>
      </w:pPr>
      <w:r w:rsidRPr="008556F3">
        <w:rPr>
          <w:bCs/>
          <w:color w:val="000000"/>
        </w:rPr>
        <w:t xml:space="preserve"> </w:t>
      </w:r>
      <w:r w:rsidR="00282317" w:rsidRPr="008556F3">
        <w:rPr>
          <w:bCs/>
          <w:color w:val="000000"/>
        </w:rPr>
        <w:t>Instructional Content</w:t>
      </w:r>
    </w:p>
    <w:p w14:paraId="06FBC1B4" w14:textId="77777777" w:rsidR="00282317" w:rsidRPr="008556F3" w:rsidRDefault="00282317" w:rsidP="003228AA">
      <w:pPr>
        <w:numPr>
          <w:ilvl w:val="0"/>
          <w:numId w:val="15"/>
        </w:numPr>
        <w:rPr>
          <w:bCs/>
          <w:color w:val="000000"/>
        </w:rPr>
      </w:pPr>
      <w:r w:rsidRPr="008556F3">
        <w:rPr>
          <w:bCs/>
          <w:color w:val="000000"/>
        </w:rPr>
        <w:t>Participant Competence</w:t>
      </w:r>
    </w:p>
    <w:p w14:paraId="0342CFDD" w14:textId="77777777" w:rsidR="00282317" w:rsidRPr="008556F3" w:rsidRDefault="003228AA" w:rsidP="003228AA">
      <w:pPr>
        <w:ind w:left="360"/>
        <w:rPr>
          <w:bCs/>
          <w:color w:val="000000"/>
        </w:rPr>
      </w:pPr>
      <w:r w:rsidRPr="008556F3">
        <w:rPr>
          <w:bCs/>
          <w:color w:val="000000"/>
        </w:rPr>
        <w:t xml:space="preserve">Guideline 5:  </w:t>
      </w:r>
      <w:r w:rsidR="00282317" w:rsidRPr="008556F3">
        <w:rPr>
          <w:bCs/>
          <w:color w:val="000000"/>
        </w:rPr>
        <w:t xml:space="preserve">SDAIE Methods </w:t>
      </w:r>
    </w:p>
    <w:p w14:paraId="352D10FA" w14:textId="77777777" w:rsidR="003228AA" w:rsidRPr="008556F3" w:rsidRDefault="003228AA" w:rsidP="003228AA">
      <w:pPr>
        <w:numPr>
          <w:ilvl w:val="0"/>
          <w:numId w:val="16"/>
        </w:numPr>
        <w:rPr>
          <w:bCs/>
          <w:color w:val="000000"/>
        </w:rPr>
      </w:pPr>
      <w:r w:rsidRPr="008556F3">
        <w:rPr>
          <w:bCs/>
          <w:color w:val="000000"/>
        </w:rPr>
        <w:t>Instructional Content</w:t>
      </w:r>
    </w:p>
    <w:p w14:paraId="73A83AB1" w14:textId="017F04AF" w:rsidR="002E611B" w:rsidRPr="00283BB9" w:rsidRDefault="003228AA" w:rsidP="00283BB9">
      <w:pPr>
        <w:numPr>
          <w:ilvl w:val="0"/>
          <w:numId w:val="16"/>
        </w:numPr>
        <w:spacing w:after="240"/>
        <w:rPr>
          <w:bCs/>
          <w:color w:val="000000"/>
        </w:rPr>
      </w:pPr>
      <w:r w:rsidRPr="008556F3">
        <w:rPr>
          <w:bCs/>
          <w:color w:val="000000"/>
        </w:rPr>
        <w:t>Participant Competence</w:t>
      </w:r>
    </w:p>
    <w:p w14:paraId="1C34D0A1" w14:textId="12BBBA00" w:rsidR="002E611B" w:rsidRPr="00D24850" w:rsidRDefault="002E611B" w:rsidP="00D24850">
      <w:pPr>
        <w:pStyle w:val="Heading2"/>
      </w:pPr>
      <w:r w:rsidRPr="00D24850">
        <w:t>Guideline 3:</w:t>
      </w:r>
      <w:r w:rsidR="00283BB9">
        <w:t xml:space="preserve"> </w:t>
      </w:r>
      <w:r w:rsidRPr="00D24850">
        <w:t>Foundational Knowledge</w:t>
      </w:r>
      <w:r w:rsidR="00283BB9">
        <w:br/>
      </w:r>
      <w:r w:rsidRPr="00D24850">
        <w:t>I. Instructional Content</w:t>
      </w:r>
    </w:p>
    <w:p w14:paraId="529064C1" w14:textId="00E369F8" w:rsidR="002E611B" w:rsidRPr="00283BB9" w:rsidRDefault="002E611B" w:rsidP="00283BB9">
      <w:pPr>
        <w:spacing w:after="240"/>
        <w:rPr>
          <w:color w:val="000000"/>
        </w:rPr>
      </w:pPr>
      <w:r>
        <w:rPr>
          <w:color w:val="000000"/>
        </w:rPr>
        <w:t>Each staff development program shall provide participating teachers with instruction in the following foundation topics as they relate to improving students’ acquisition and learning of English, and access and achievement in the academic curriculum:</w:t>
      </w:r>
    </w:p>
    <w:tbl>
      <w:tblP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8"/>
        <w:gridCol w:w="4035"/>
      </w:tblGrid>
      <w:tr w:rsidR="00754CF6" w14:paraId="50CCE7F4" w14:textId="77777777" w:rsidTr="009D126B">
        <w:trPr>
          <w:cantSplit/>
          <w:tblHeader/>
        </w:trPr>
        <w:tc>
          <w:tcPr>
            <w:tcW w:w="3134" w:type="pct"/>
          </w:tcPr>
          <w:p w14:paraId="3D35EB66" w14:textId="77777777" w:rsidR="00754CF6" w:rsidRDefault="00754CF6">
            <w:pPr>
              <w:jc w:val="center"/>
              <w:rPr>
                <w:b/>
              </w:rPr>
            </w:pPr>
            <w:r>
              <w:rPr>
                <w:b/>
              </w:rPr>
              <w:t>Guideline Components</w:t>
            </w:r>
          </w:p>
        </w:tc>
        <w:tc>
          <w:tcPr>
            <w:tcW w:w="1866" w:type="pct"/>
          </w:tcPr>
          <w:p w14:paraId="58946AAA" w14:textId="77777777" w:rsidR="00754CF6" w:rsidRDefault="003228AA">
            <w:pPr>
              <w:rPr>
                <w:b/>
              </w:rPr>
            </w:pPr>
            <w:r>
              <w:rPr>
                <w:b/>
              </w:rPr>
              <w:t xml:space="preserve">CTEL Course </w:t>
            </w:r>
            <w:r w:rsidR="00E52875">
              <w:rPr>
                <w:b/>
              </w:rPr>
              <w:t>Number</w:t>
            </w:r>
            <w:r>
              <w:rPr>
                <w:b/>
              </w:rPr>
              <w:t xml:space="preserve"> and </w:t>
            </w:r>
            <w:r w:rsidR="00E52875">
              <w:rPr>
                <w:b/>
              </w:rPr>
              <w:t>Title</w:t>
            </w:r>
          </w:p>
        </w:tc>
      </w:tr>
      <w:tr w:rsidR="00754CF6" w14:paraId="310D5D03" w14:textId="77777777" w:rsidTr="009D126B">
        <w:trPr>
          <w:cantSplit/>
        </w:trPr>
        <w:tc>
          <w:tcPr>
            <w:tcW w:w="3134" w:type="pct"/>
          </w:tcPr>
          <w:p w14:paraId="63E48E37" w14:textId="6D427C43" w:rsidR="00754CF6" w:rsidRPr="009D126B" w:rsidRDefault="00754CF6" w:rsidP="009D126B">
            <w:pPr>
              <w:numPr>
                <w:ilvl w:val="0"/>
                <w:numId w:val="3"/>
              </w:numPr>
              <w:autoSpaceDE w:val="0"/>
              <w:autoSpaceDN w:val="0"/>
              <w:adjustRightInd w:val="0"/>
              <w:rPr>
                <w:color w:val="000000"/>
              </w:rPr>
            </w:pPr>
            <w:r w:rsidRPr="00D67799">
              <w:t>Definition,</w:t>
            </w:r>
            <w:r>
              <w:rPr>
                <w:color w:val="000000"/>
              </w:rPr>
              <w:t xml:space="preserve"> </w:t>
            </w:r>
            <w:r w:rsidR="00283BB9">
              <w:rPr>
                <w:color w:val="000000"/>
              </w:rPr>
              <w:t>rationale,</w:t>
            </w:r>
            <w:r>
              <w:rPr>
                <w:color w:val="000000"/>
              </w:rPr>
              <w:t xml:space="preserve"> and purpose of instruction in ELD and SDAIE and how they interrelate and work together to provide maximum and continuing language development and content learning opportunities for English Learners.</w:t>
            </w:r>
          </w:p>
        </w:tc>
        <w:tc>
          <w:tcPr>
            <w:tcW w:w="1866" w:type="pct"/>
          </w:tcPr>
          <w:p w14:paraId="5230B144" w14:textId="77777777" w:rsidR="00754CF6" w:rsidRDefault="00754CF6">
            <w:pPr>
              <w:rPr>
                <w:b/>
              </w:rPr>
            </w:pPr>
          </w:p>
        </w:tc>
      </w:tr>
      <w:tr w:rsidR="00754CF6" w14:paraId="03A328DD" w14:textId="77777777" w:rsidTr="009D126B">
        <w:trPr>
          <w:cantSplit/>
        </w:trPr>
        <w:tc>
          <w:tcPr>
            <w:tcW w:w="3134" w:type="pct"/>
          </w:tcPr>
          <w:p w14:paraId="68B617BA" w14:textId="77777777" w:rsidR="00B22729" w:rsidRPr="00D67799" w:rsidRDefault="00754CF6">
            <w:pPr>
              <w:autoSpaceDE w:val="0"/>
              <w:autoSpaceDN w:val="0"/>
              <w:adjustRightInd w:val="0"/>
            </w:pPr>
            <w:r>
              <w:rPr>
                <w:b/>
              </w:rPr>
              <w:t xml:space="preserve">A.1. </w:t>
            </w:r>
            <w:r>
              <w:rPr>
                <w:color w:val="000000"/>
              </w:rPr>
              <w:t xml:space="preserve">ELD </w:t>
            </w:r>
            <w:r w:rsidRPr="00D67799">
              <w:t xml:space="preserve">shall be defined as systematic instruction of </w:t>
            </w:r>
          </w:p>
          <w:p w14:paraId="5428681E" w14:textId="07B0F9B7" w:rsidR="00754CF6" w:rsidRDefault="00754CF6">
            <w:pPr>
              <w:autoSpaceDE w:val="0"/>
              <w:autoSpaceDN w:val="0"/>
              <w:adjustRightInd w:val="0"/>
              <w:rPr>
                <w:color w:val="000000"/>
              </w:rPr>
            </w:pPr>
            <w:r w:rsidRPr="00D67799">
              <w:t xml:space="preserve">English (Listening, Speaking, </w:t>
            </w:r>
            <w:proofErr w:type="gramStart"/>
            <w:r w:rsidRPr="00D67799">
              <w:t>Reading</w:t>
            </w:r>
            <w:proofErr w:type="gramEnd"/>
            <w:r w:rsidRPr="00D67799">
              <w:t xml:space="preserve"> and Writing) targeted to the English proficiency level of students whose primary language is other than English for the purpose of promoting the acquisition and learning of English and, thereby, enabling students to achieve proficiency on the English- Language Arts and other state-adopted Content Standards</w:t>
            </w:r>
            <w:r>
              <w:rPr>
                <w:color w:val="0000FF"/>
              </w:rPr>
              <w:t xml:space="preserve">  </w:t>
            </w:r>
            <w:r>
              <w:rPr>
                <w:color w:val="000000"/>
              </w:rPr>
              <w:t xml:space="preserve"> The foundational knowledge of ELD shall include the definition, rationale and purpose of instruction.</w:t>
            </w:r>
          </w:p>
        </w:tc>
        <w:tc>
          <w:tcPr>
            <w:tcW w:w="1866" w:type="pct"/>
          </w:tcPr>
          <w:p w14:paraId="2D2F1E1E" w14:textId="77777777" w:rsidR="00754CF6" w:rsidRDefault="00754CF6">
            <w:pPr>
              <w:rPr>
                <w:b/>
              </w:rPr>
            </w:pPr>
          </w:p>
        </w:tc>
      </w:tr>
      <w:tr w:rsidR="00754CF6" w14:paraId="2582EA41" w14:textId="77777777" w:rsidTr="009D126B">
        <w:trPr>
          <w:cantSplit/>
        </w:trPr>
        <w:tc>
          <w:tcPr>
            <w:tcW w:w="3134" w:type="pct"/>
          </w:tcPr>
          <w:p w14:paraId="6E049031" w14:textId="2B689795" w:rsidR="00754CF6" w:rsidRPr="009D126B" w:rsidRDefault="00754CF6">
            <w:pPr>
              <w:autoSpaceDE w:val="0"/>
              <w:autoSpaceDN w:val="0"/>
              <w:adjustRightInd w:val="0"/>
              <w:rPr>
                <w:color w:val="000000"/>
              </w:rPr>
            </w:pPr>
            <w:r>
              <w:rPr>
                <w:b/>
                <w:color w:val="000000"/>
              </w:rPr>
              <w:t xml:space="preserve">A.2. </w:t>
            </w:r>
            <w:r>
              <w:rPr>
                <w:color w:val="000000"/>
              </w:rPr>
              <w:t xml:space="preserve">SDAIE </w:t>
            </w:r>
            <w:r w:rsidRPr="00D67799">
              <w:t>shall be defined as a set of instructional strategies appropriate to the language proficiency level that provide access to content standards at the same academic level as provided to their Fluent-English Proficient (FEP) and English Only (EO) peers.  It is instruction designed to make course-appropriate and rigorous curriculum content comprehensible to English Learners.</w:t>
            </w:r>
            <w:r>
              <w:rPr>
                <w:color w:val="000000"/>
              </w:rPr>
              <w:t xml:space="preserve"> </w:t>
            </w:r>
          </w:p>
        </w:tc>
        <w:tc>
          <w:tcPr>
            <w:tcW w:w="1866" w:type="pct"/>
          </w:tcPr>
          <w:p w14:paraId="401CA216" w14:textId="77777777" w:rsidR="00754CF6" w:rsidRDefault="00754CF6">
            <w:pPr>
              <w:rPr>
                <w:b/>
              </w:rPr>
            </w:pPr>
          </w:p>
        </w:tc>
      </w:tr>
      <w:tr w:rsidR="00754CF6" w14:paraId="5D639452" w14:textId="77777777" w:rsidTr="009D126B">
        <w:trPr>
          <w:cantSplit/>
        </w:trPr>
        <w:tc>
          <w:tcPr>
            <w:tcW w:w="3134" w:type="pct"/>
          </w:tcPr>
          <w:p w14:paraId="7A438B99" w14:textId="1863E21F" w:rsidR="00754CF6" w:rsidRPr="009D126B" w:rsidRDefault="00754CF6" w:rsidP="009D126B">
            <w:pPr>
              <w:numPr>
                <w:ilvl w:val="0"/>
                <w:numId w:val="3"/>
              </w:numPr>
              <w:autoSpaceDE w:val="0"/>
              <w:autoSpaceDN w:val="0"/>
              <w:adjustRightInd w:val="0"/>
              <w:rPr>
                <w:color w:val="000000"/>
              </w:rPr>
            </w:pPr>
            <w:r>
              <w:rPr>
                <w:color w:val="000000"/>
              </w:rPr>
              <w:t>Relevant state and federal laws pertaining to the education of English Learners, how the laws impact student placement in instructional programs and what the program options are, including English in the general education classroom, Structured English Immersion (SEI), and alternative programs (bilingual, two-way immersion). Participating teachers shall be introduced to their role in helping English Learners access and learn the curriculum.</w:t>
            </w:r>
          </w:p>
        </w:tc>
        <w:tc>
          <w:tcPr>
            <w:tcW w:w="1866" w:type="pct"/>
          </w:tcPr>
          <w:p w14:paraId="0C4F685E" w14:textId="77777777" w:rsidR="00116B8C" w:rsidRDefault="00116B8C">
            <w:pPr>
              <w:rPr>
                <w:b/>
              </w:rPr>
            </w:pPr>
          </w:p>
        </w:tc>
      </w:tr>
      <w:tr w:rsidR="00754CF6" w14:paraId="65AFA986" w14:textId="77777777" w:rsidTr="009D126B">
        <w:trPr>
          <w:cantSplit/>
        </w:trPr>
        <w:tc>
          <w:tcPr>
            <w:tcW w:w="3134" w:type="pct"/>
          </w:tcPr>
          <w:p w14:paraId="503DF424" w14:textId="77777777" w:rsidR="00754CF6" w:rsidRDefault="00754CF6">
            <w:pPr>
              <w:numPr>
                <w:ilvl w:val="0"/>
                <w:numId w:val="3"/>
              </w:numPr>
              <w:autoSpaceDE w:val="0"/>
              <w:autoSpaceDN w:val="0"/>
              <w:adjustRightInd w:val="0"/>
              <w:rPr>
                <w:color w:val="000000"/>
                <w:sz w:val="22"/>
                <w:szCs w:val="22"/>
              </w:rPr>
            </w:pPr>
            <w:r>
              <w:rPr>
                <w:color w:val="000000"/>
                <w:sz w:val="22"/>
                <w:szCs w:val="22"/>
              </w:rPr>
              <w:lastRenderedPageBreak/>
              <w:t xml:space="preserve">Description of current research findings and practices on the reading, writing and oral language development of English Learners: </w:t>
            </w:r>
          </w:p>
          <w:p w14:paraId="73CBE78F" w14:textId="77777777" w:rsidR="00754CF6" w:rsidRDefault="00754CF6">
            <w:pPr>
              <w:numPr>
                <w:ilvl w:val="1"/>
                <w:numId w:val="3"/>
              </w:numPr>
              <w:tabs>
                <w:tab w:val="clear" w:pos="720"/>
                <w:tab w:val="num" w:pos="360"/>
              </w:tabs>
              <w:autoSpaceDE w:val="0"/>
              <w:autoSpaceDN w:val="0"/>
              <w:adjustRightInd w:val="0"/>
              <w:rPr>
                <w:color w:val="000000"/>
                <w:sz w:val="22"/>
                <w:szCs w:val="22"/>
              </w:rPr>
            </w:pPr>
            <w:r>
              <w:rPr>
                <w:color w:val="000000"/>
                <w:sz w:val="22"/>
                <w:szCs w:val="22"/>
              </w:rPr>
              <w:t>How primary and secondary languages are acquired and learned</w:t>
            </w:r>
          </w:p>
          <w:p w14:paraId="707F5B06" w14:textId="77777777" w:rsidR="00754CF6" w:rsidRDefault="00754CF6">
            <w:pPr>
              <w:numPr>
                <w:ilvl w:val="1"/>
                <w:numId w:val="3"/>
              </w:numPr>
              <w:autoSpaceDE w:val="0"/>
              <w:autoSpaceDN w:val="0"/>
              <w:adjustRightInd w:val="0"/>
              <w:rPr>
                <w:color w:val="000000"/>
                <w:sz w:val="22"/>
                <w:szCs w:val="22"/>
              </w:rPr>
            </w:pPr>
            <w:r>
              <w:rPr>
                <w:color w:val="000000"/>
                <w:sz w:val="22"/>
                <w:szCs w:val="22"/>
              </w:rPr>
              <w:t>How first language literacy connects and transfers to second language development</w:t>
            </w:r>
          </w:p>
          <w:p w14:paraId="60D3DB9B" w14:textId="77777777" w:rsidR="00754CF6" w:rsidRDefault="00754CF6">
            <w:pPr>
              <w:numPr>
                <w:ilvl w:val="1"/>
                <w:numId w:val="3"/>
              </w:numPr>
              <w:autoSpaceDE w:val="0"/>
              <w:autoSpaceDN w:val="0"/>
              <w:adjustRightInd w:val="0"/>
              <w:rPr>
                <w:color w:val="000000"/>
                <w:sz w:val="22"/>
                <w:szCs w:val="22"/>
              </w:rPr>
            </w:pPr>
            <w:r>
              <w:rPr>
                <w:color w:val="000000"/>
                <w:sz w:val="22"/>
                <w:szCs w:val="22"/>
              </w:rPr>
              <w:t>Relationship between oral language development, and reading and writing development</w:t>
            </w:r>
          </w:p>
          <w:p w14:paraId="3A9CAED6" w14:textId="77777777" w:rsidR="00754CF6" w:rsidRDefault="00754CF6">
            <w:pPr>
              <w:numPr>
                <w:ilvl w:val="1"/>
                <w:numId w:val="3"/>
              </w:numPr>
              <w:autoSpaceDE w:val="0"/>
              <w:autoSpaceDN w:val="0"/>
              <w:adjustRightInd w:val="0"/>
              <w:rPr>
                <w:color w:val="000000"/>
                <w:sz w:val="22"/>
                <w:szCs w:val="22"/>
              </w:rPr>
            </w:pPr>
            <w:r>
              <w:rPr>
                <w:color w:val="000000"/>
                <w:sz w:val="22"/>
                <w:szCs w:val="22"/>
              </w:rPr>
              <w:t>The implications of language proficiency levels on reading and writing performance</w:t>
            </w:r>
          </w:p>
          <w:p w14:paraId="27EC264E" w14:textId="77777777" w:rsidR="00754CF6" w:rsidRDefault="00754CF6">
            <w:pPr>
              <w:numPr>
                <w:ilvl w:val="1"/>
                <w:numId w:val="3"/>
              </w:numPr>
              <w:autoSpaceDE w:val="0"/>
              <w:autoSpaceDN w:val="0"/>
              <w:adjustRightInd w:val="0"/>
              <w:rPr>
                <w:color w:val="000000"/>
                <w:sz w:val="22"/>
                <w:szCs w:val="22"/>
              </w:rPr>
            </w:pPr>
            <w:r>
              <w:rPr>
                <w:color w:val="000000"/>
                <w:sz w:val="22"/>
                <w:szCs w:val="22"/>
              </w:rPr>
              <w:t>The process by which students learn to read with fluency and comprehension</w:t>
            </w:r>
          </w:p>
          <w:p w14:paraId="29863AA8" w14:textId="77777777" w:rsidR="00754CF6" w:rsidRDefault="00754CF6">
            <w:pPr>
              <w:numPr>
                <w:ilvl w:val="1"/>
                <w:numId w:val="3"/>
              </w:numPr>
              <w:autoSpaceDE w:val="0"/>
              <w:autoSpaceDN w:val="0"/>
              <w:adjustRightInd w:val="0"/>
              <w:rPr>
                <w:color w:val="000000"/>
                <w:sz w:val="22"/>
                <w:szCs w:val="22"/>
              </w:rPr>
            </w:pPr>
            <w:r>
              <w:rPr>
                <w:color w:val="000000"/>
                <w:sz w:val="22"/>
                <w:szCs w:val="22"/>
              </w:rPr>
              <w:t>The role of purposeful reading and writing in promoting second language acquisition</w:t>
            </w:r>
          </w:p>
          <w:p w14:paraId="1D84FAFA" w14:textId="77777777" w:rsidR="00754CF6" w:rsidRDefault="00754CF6">
            <w:pPr>
              <w:numPr>
                <w:ilvl w:val="1"/>
                <w:numId w:val="3"/>
              </w:numPr>
              <w:autoSpaceDE w:val="0"/>
              <w:autoSpaceDN w:val="0"/>
              <w:adjustRightInd w:val="0"/>
              <w:rPr>
                <w:color w:val="000000"/>
                <w:sz w:val="22"/>
                <w:szCs w:val="22"/>
              </w:rPr>
            </w:pPr>
            <w:r>
              <w:rPr>
                <w:color w:val="000000"/>
                <w:sz w:val="22"/>
                <w:szCs w:val="22"/>
              </w:rPr>
              <w:t xml:space="preserve">The importance of focusing on the development of course-appropriate vocabulary and process language </w:t>
            </w:r>
          </w:p>
          <w:p w14:paraId="5053AC97" w14:textId="4543E5CF" w:rsidR="00754CF6" w:rsidRPr="009D126B" w:rsidRDefault="00754CF6" w:rsidP="009D126B">
            <w:pPr>
              <w:numPr>
                <w:ilvl w:val="1"/>
                <w:numId w:val="3"/>
              </w:numPr>
              <w:autoSpaceDE w:val="0"/>
              <w:autoSpaceDN w:val="0"/>
              <w:adjustRightInd w:val="0"/>
              <w:rPr>
                <w:color w:val="000000"/>
                <w:sz w:val="22"/>
                <w:szCs w:val="22"/>
              </w:rPr>
            </w:pPr>
            <w:r>
              <w:rPr>
                <w:color w:val="000000"/>
                <w:sz w:val="22"/>
                <w:szCs w:val="22"/>
              </w:rPr>
              <w:t>Different genres of speaking, reading and writing that students must acquire in order to succeed in all classrooms and industry.</w:t>
            </w:r>
          </w:p>
        </w:tc>
        <w:tc>
          <w:tcPr>
            <w:tcW w:w="1866" w:type="pct"/>
          </w:tcPr>
          <w:p w14:paraId="3510EF0E" w14:textId="77777777" w:rsidR="00754CF6" w:rsidRDefault="00754CF6">
            <w:pPr>
              <w:rPr>
                <w:b/>
              </w:rPr>
            </w:pPr>
          </w:p>
        </w:tc>
      </w:tr>
      <w:tr w:rsidR="00754CF6" w14:paraId="3FC18747" w14:textId="77777777" w:rsidTr="009D126B">
        <w:trPr>
          <w:cantSplit/>
        </w:trPr>
        <w:tc>
          <w:tcPr>
            <w:tcW w:w="3134" w:type="pct"/>
          </w:tcPr>
          <w:p w14:paraId="1F0777C9" w14:textId="77777777" w:rsidR="00754CF6" w:rsidRDefault="00754CF6">
            <w:pPr>
              <w:numPr>
                <w:ilvl w:val="0"/>
                <w:numId w:val="3"/>
              </w:numPr>
              <w:autoSpaceDE w:val="0"/>
              <w:autoSpaceDN w:val="0"/>
              <w:adjustRightInd w:val="0"/>
              <w:rPr>
                <w:color w:val="000000"/>
              </w:rPr>
            </w:pPr>
            <w:r>
              <w:rPr>
                <w:color w:val="000000"/>
              </w:rPr>
              <w:t>Cognitive, pedagogical and individual factors that affect English Learners and how the interaction of these various factors may add strength or pose challenges to their academic performance, English language acquisition and school adjustment, such as:</w:t>
            </w:r>
          </w:p>
          <w:p w14:paraId="7C8B2864" w14:textId="77777777" w:rsidR="00754CF6" w:rsidRDefault="00754CF6">
            <w:pPr>
              <w:numPr>
                <w:ilvl w:val="1"/>
                <w:numId w:val="3"/>
              </w:numPr>
              <w:autoSpaceDE w:val="0"/>
              <w:autoSpaceDN w:val="0"/>
              <w:adjustRightInd w:val="0"/>
              <w:rPr>
                <w:color w:val="000000"/>
              </w:rPr>
            </w:pPr>
            <w:r>
              <w:rPr>
                <w:color w:val="000000"/>
              </w:rPr>
              <w:t>Individual differences in language ability</w:t>
            </w:r>
          </w:p>
          <w:p w14:paraId="01998462" w14:textId="77777777" w:rsidR="00754CF6" w:rsidRDefault="00754CF6">
            <w:pPr>
              <w:numPr>
                <w:ilvl w:val="1"/>
                <w:numId w:val="3"/>
              </w:numPr>
              <w:autoSpaceDE w:val="0"/>
              <w:autoSpaceDN w:val="0"/>
              <w:adjustRightInd w:val="0"/>
              <w:rPr>
                <w:color w:val="000000"/>
              </w:rPr>
            </w:pPr>
            <w:r>
              <w:rPr>
                <w:color w:val="000000"/>
              </w:rPr>
              <w:t>Interactions between the English learner's two languages during acquisition and use</w:t>
            </w:r>
          </w:p>
          <w:p w14:paraId="1B240FC0" w14:textId="205D2F82" w:rsidR="00754CF6" w:rsidRPr="009D126B" w:rsidRDefault="00754CF6" w:rsidP="009D126B">
            <w:pPr>
              <w:numPr>
                <w:ilvl w:val="1"/>
                <w:numId w:val="3"/>
              </w:numPr>
              <w:autoSpaceDE w:val="0"/>
              <w:autoSpaceDN w:val="0"/>
              <w:adjustRightInd w:val="0"/>
              <w:rPr>
                <w:color w:val="000000"/>
              </w:rPr>
            </w:pPr>
            <w:r>
              <w:rPr>
                <w:color w:val="000000"/>
              </w:rPr>
              <w:t>Background factors, including prior educational and literacy experiences and socioeconomic factors.</w:t>
            </w:r>
          </w:p>
        </w:tc>
        <w:tc>
          <w:tcPr>
            <w:tcW w:w="1866" w:type="pct"/>
          </w:tcPr>
          <w:p w14:paraId="517CE748" w14:textId="77777777" w:rsidR="00754CF6" w:rsidRDefault="00754CF6">
            <w:pPr>
              <w:rPr>
                <w:b/>
              </w:rPr>
            </w:pPr>
          </w:p>
        </w:tc>
      </w:tr>
      <w:tr w:rsidR="00754CF6" w14:paraId="327FEB6F" w14:textId="77777777" w:rsidTr="009D126B">
        <w:trPr>
          <w:cantSplit/>
        </w:trPr>
        <w:tc>
          <w:tcPr>
            <w:tcW w:w="3134" w:type="pct"/>
          </w:tcPr>
          <w:p w14:paraId="7E6F8BA0" w14:textId="77777777" w:rsidR="00754CF6" w:rsidRDefault="00754CF6">
            <w:pPr>
              <w:numPr>
                <w:ilvl w:val="0"/>
                <w:numId w:val="3"/>
              </w:numPr>
              <w:autoSpaceDE w:val="0"/>
              <w:autoSpaceDN w:val="0"/>
              <w:adjustRightInd w:val="0"/>
              <w:rPr>
                <w:color w:val="000000"/>
              </w:rPr>
            </w:pPr>
            <w:r>
              <w:rPr>
                <w:color w:val="000000"/>
              </w:rPr>
              <w:t>Provide opportunities for participating teachers to:</w:t>
            </w:r>
          </w:p>
          <w:p w14:paraId="184C7B5A" w14:textId="77777777" w:rsidR="00754CF6" w:rsidRDefault="00754CF6">
            <w:pPr>
              <w:numPr>
                <w:ilvl w:val="1"/>
                <w:numId w:val="3"/>
              </w:numPr>
              <w:autoSpaceDE w:val="0"/>
              <w:autoSpaceDN w:val="0"/>
              <w:adjustRightInd w:val="0"/>
              <w:rPr>
                <w:color w:val="000000"/>
              </w:rPr>
            </w:pPr>
            <w:r>
              <w:rPr>
                <w:color w:val="000000"/>
              </w:rPr>
              <w:t xml:space="preserve">Examine their stated beliefs, attitudes and expectations about diverse students and their families, schools and communities </w:t>
            </w:r>
          </w:p>
          <w:p w14:paraId="4924F9D8" w14:textId="77777777" w:rsidR="00754CF6" w:rsidRDefault="00754CF6">
            <w:pPr>
              <w:numPr>
                <w:ilvl w:val="1"/>
                <w:numId w:val="3"/>
              </w:numPr>
              <w:autoSpaceDE w:val="0"/>
              <w:autoSpaceDN w:val="0"/>
              <w:adjustRightInd w:val="0"/>
              <w:rPr>
                <w:color w:val="000000"/>
              </w:rPr>
            </w:pPr>
            <w:r>
              <w:rPr>
                <w:color w:val="000000"/>
              </w:rPr>
              <w:t xml:space="preserve">Recognize and minimize bias in the classroom </w:t>
            </w:r>
          </w:p>
          <w:p w14:paraId="2A91BE9E" w14:textId="77777777" w:rsidR="00754CF6" w:rsidRDefault="00754CF6">
            <w:pPr>
              <w:numPr>
                <w:ilvl w:val="1"/>
                <w:numId w:val="3"/>
              </w:numPr>
              <w:autoSpaceDE w:val="0"/>
              <w:autoSpaceDN w:val="0"/>
              <w:adjustRightInd w:val="0"/>
              <w:rPr>
                <w:color w:val="000000"/>
              </w:rPr>
            </w:pPr>
            <w:r>
              <w:rPr>
                <w:color w:val="000000"/>
              </w:rPr>
              <w:t>Practice and utilize appropriate strategies that foster high achievement among students in all contexts, and create equitable classroom communities</w:t>
            </w:r>
          </w:p>
          <w:p w14:paraId="29A37FA5" w14:textId="388271CD" w:rsidR="00754CF6" w:rsidRPr="009D126B" w:rsidRDefault="00754CF6" w:rsidP="009D126B">
            <w:pPr>
              <w:numPr>
                <w:ilvl w:val="1"/>
                <w:numId w:val="3"/>
              </w:numPr>
              <w:autoSpaceDE w:val="0"/>
              <w:autoSpaceDN w:val="0"/>
              <w:adjustRightInd w:val="0"/>
              <w:rPr>
                <w:color w:val="000000"/>
              </w:rPr>
            </w:pPr>
            <w:r>
              <w:rPr>
                <w:color w:val="000000"/>
              </w:rPr>
              <w:t>Ensure the physical, social, emotional and intellectual safety of all English Learners and their classmates.</w:t>
            </w:r>
          </w:p>
        </w:tc>
        <w:tc>
          <w:tcPr>
            <w:tcW w:w="1866" w:type="pct"/>
          </w:tcPr>
          <w:p w14:paraId="0064B4FD" w14:textId="77777777" w:rsidR="00754CF6" w:rsidRPr="0011240C" w:rsidRDefault="00754CF6"/>
        </w:tc>
      </w:tr>
      <w:tr w:rsidR="00754CF6" w14:paraId="4F5D8500" w14:textId="77777777" w:rsidTr="009D126B">
        <w:trPr>
          <w:cantSplit/>
        </w:trPr>
        <w:tc>
          <w:tcPr>
            <w:tcW w:w="3134" w:type="pct"/>
          </w:tcPr>
          <w:p w14:paraId="582BB64B" w14:textId="5022AA20" w:rsidR="00754CF6" w:rsidRPr="009D126B" w:rsidRDefault="00754CF6" w:rsidP="009D126B">
            <w:pPr>
              <w:numPr>
                <w:ilvl w:val="0"/>
                <w:numId w:val="3"/>
              </w:numPr>
              <w:autoSpaceDE w:val="0"/>
              <w:autoSpaceDN w:val="0"/>
              <w:adjustRightInd w:val="0"/>
              <w:rPr>
                <w:color w:val="000000"/>
              </w:rPr>
            </w:pPr>
            <w:r>
              <w:rPr>
                <w:color w:val="000000"/>
              </w:rPr>
              <w:t xml:space="preserve">Historical and cultural traditions of the major cultural and ethnic groups in </w:t>
            </w:r>
            <w:smartTag w:uri="urn:schemas-microsoft-com:office:smarttags" w:element="place">
              <w:smartTag w:uri="urn:schemas-microsoft-com:office:smarttags" w:element="State">
                <w:r>
                  <w:rPr>
                    <w:color w:val="000000"/>
                  </w:rPr>
                  <w:t>California</w:t>
                </w:r>
              </w:smartTag>
            </w:smartTag>
            <w:r>
              <w:rPr>
                <w:color w:val="000000"/>
              </w:rPr>
              <w:t xml:space="preserve"> society and how family, school and work cultures interact and affect learning. Each program shall provide a rationale for including cultural traditions, community values, and resources in the instructional program of the classroom to support student learning.</w:t>
            </w:r>
          </w:p>
        </w:tc>
        <w:tc>
          <w:tcPr>
            <w:tcW w:w="1866" w:type="pct"/>
          </w:tcPr>
          <w:p w14:paraId="1FFD316A" w14:textId="77777777" w:rsidR="00754CF6" w:rsidRDefault="00754CF6">
            <w:pPr>
              <w:rPr>
                <w:b/>
              </w:rPr>
            </w:pPr>
          </w:p>
        </w:tc>
      </w:tr>
    </w:tbl>
    <w:p w14:paraId="2055DC6A" w14:textId="552FE994" w:rsidR="009D126B" w:rsidRDefault="009D126B">
      <w:r>
        <w:br w:type="page"/>
      </w:r>
    </w:p>
    <w:p w14:paraId="0A5D5D52" w14:textId="4A1C860D" w:rsidR="009D126B" w:rsidRPr="00283BB9" w:rsidRDefault="009D126B" w:rsidP="00283BB9">
      <w:pPr>
        <w:pStyle w:val="Heading2"/>
        <w:spacing w:after="240"/>
      </w:pPr>
      <w:r w:rsidRPr="00D24850">
        <w:lastRenderedPageBreak/>
        <w:t>Guideline 3</w:t>
      </w:r>
      <w:r w:rsidR="00283BB9">
        <w:t xml:space="preserve">: </w:t>
      </w:r>
      <w:r w:rsidRPr="00D24850">
        <w:t>Foundational Knowledge</w:t>
      </w:r>
      <w:r w:rsidR="00283BB9">
        <w:br/>
      </w:r>
      <w:r w:rsidRPr="00D24850">
        <w:t xml:space="preserve">II. Participant Competence </w:t>
      </w:r>
    </w:p>
    <w:tbl>
      <w:tblP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8"/>
        <w:gridCol w:w="4035"/>
      </w:tblGrid>
      <w:tr w:rsidR="009D126B" w14:paraId="344863E0" w14:textId="77777777" w:rsidTr="00283BB9">
        <w:trPr>
          <w:cantSplit/>
          <w:tblHeader/>
        </w:trPr>
        <w:tc>
          <w:tcPr>
            <w:tcW w:w="3134" w:type="pct"/>
          </w:tcPr>
          <w:p w14:paraId="76E73521" w14:textId="1498C689" w:rsidR="009D126B" w:rsidRDefault="009D126B" w:rsidP="009D126B">
            <w:pPr>
              <w:autoSpaceDE w:val="0"/>
              <w:autoSpaceDN w:val="0"/>
              <w:adjustRightInd w:val="0"/>
              <w:rPr>
                <w:color w:val="000000"/>
              </w:rPr>
            </w:pPr>
            <w:r>
              <w:rPr>
                <w:b/>
              </w:rPr>
              <w:t>Guideline Components</w:t>
            </w:r>
          </w:p>
        </w:tc>
        <w:tc>
          <w:tcPr>
            <w:tcW w:w="1866" w:type="pct"/>
          </w:tcPr>
          <w:p w14:paraId="1EEE3A89" w14:textId="44052845" w:rsidR="009D126B" w:rsidRDefault="009D126B" w:rsidP="009D126B">
            <w:pPr>
              <w:autoSpaceDE w:val="0"/>
              <w:autoSpaceDN w:val="0"/>
              <w:adjustRightInd w:val="0"/>
              <w:jc w:val="both"/>
              <w:rPr>
                <w:b/>
              </w:rPr>
            </w:pPr>
            <w:r>
              <w:rPr>
                <w:b/>
              </w:rPr>
              <w:t>CTEL Course Number and Title</w:t>
            </w:r>
          </w:p>
        </w:tc>
      </w:tr>
      <w:tr w:rsidR="009D126B" w14:paraId="52E7DBDC" w14:textId="77777777" w:rsidTr="009D126B">
        <w:trPr>
          <w:cantSplit/>
        </w:trPr>
        <w:tc>
          <w:tcPr>
            <w:tcW w:w="3134" w:type="pct"/>
          </w:tcPr>
          <w:p w14:paraId="2CA40CC3" w14:textId="04333039" w:rsidR="009D126B" w:rsidRPr="009D126B" w:rsidRDefault="009D126B" w:rsidP="009D126B">
            <w:pPr>
              <w:numPr>
                <w:ilvl w:val="0"/>
                <w:numId w:val="4"/>
              </w:numPr>
              <w:autoSpaceDE w:val="0"/>
              <w:autoSpaceDN w:val="0"/>
              <w:adjustRightInd w:val="0"/>
              <w:rPr>
                <w:color w:val="000000"/>
              </w:rPr>
            </w:pPr>
            <w:r>
              <w:rPr>
                <w:color w:val="000000"/>
              </w:rPr>
              <w:t xml:space="preserve">Participating teachers will be able to explain the </w:t>
            </w:r>
            <w:r w:rsidRPr="00D9136B">
              <w:rPr>
                <w:color w:val="000000"/>
              </w:rPr>
              <w:t>definition,</w:t>
            </w:r>
            <w:r>
              <w:rPr>
                <w:color w:val="000000"/>
              </w:rPr>
              <w:t xml:space="preserve"> rationale and purposes of ELD and SDAIE and how they interrelate and support maximum language development and content learning opportunities for English Learners.</w:t>
            </w:r>
          </w:p>
        </w:tc>
        <w:tc>
          <w:tcPr>
            <w:tcW w:w="1866" w:type="pct"/>
          </w:tcPr>
          <w:p w14:paraId="2C8A5B93" w14:textId="77777777" w:rsidR="009D126B" w:rsidRDefault="009D126B" w:rsidP="009D126B">
            <w:pPr>
              <w:autoSpaceDE w:val="0"/>
              <w:autoSpaceDN w:val="0"/>
              <w:adjustRightInd w:val="0"/>
              <w:jc w:val="both"/>
              <w:rPr>
                <w:b/>
              </w:rPr>
            </w:pPr>
          </w:p>
        </w:tc>
      </w:tr>
      <w:tr w:rsidR="009D126B" w14:paraId="0D338EF4" w14:textId="77777777" w:rsidTr="009D126B">
        <w:trPr>
          <w:cantSplit/>
        </w:trPr>
        <w:tc>
          <w:tcPr>
            <w:tcW w:w="3134" w:type="pct"/>
          </w:tcPr>
          <w:p w14:paraId="73BF714A" w14:textId="0E2A461A" w:rsidR="009D126B" w:rsidRPr="009D126B" w:rsidRDefault="009D126B" w:rsidP="009D126B">
            <w:pPr>
              <w:numPr>
                <w:ilvl w:val="0"/>
                <w:numId w:val="4"/>
              </w:numPr>
              <w:autoSpaceDE w:val="0"/>
              <w:autoSpaceDN w:val="0"/>
              <w:adjustRightInd w:val="0"/>
              <w:rPr>
                <w:color w:val="000000"/>
              </w:rPr>
            </w:pPr>
            <w:r>
              <w:rPr>
                <w:color w:val="000000"/>
              </w:rPr>
              <w:t>Each participating teacher will demonstrate their understanding of significant student background factors that create the need for the use of SDAIE to skillfully help English Learners access and master content standards.  Each participant shall demonstrate an understanding of his or her role in providing appropriate instruction to students.</w:t>
            </w:r>
          </w:p>
        </w:tc>
        <w:tc>
          <w:tcPr>
            <w:tcW w:w="1866" w:type="pct"/>
          </w:tcPr>
          <w:p w14:paraId="126A25A9" w14:textId="77777777" w:rsidR="009D126B" w:rsidRDefault="009D126B" w:rsidP="009D126B">
            <w:pPr>
              <w:autoSpaceDE w:val="0"/>
              <w:autoSpaceDN w:val="0"/>
              <w:adjustRightInd w:val="0"/>
              <w:jc w:val="both"/>
              <w:rPr>
                <w:b/>
              </w:rPr>
            </w:pPr>
          </w:p>
        </w:tc>
      </w:tr>
      <w:tr w:rsidR="009D126B" w14:paraId="69770268" w14:textId="77777777" w:rsidTr="009D126B">
        <w:trPr>
          <w:cantSplit/>
        </w:trPr>
        <w:tc>
          <w:tcPr>
            <w:tcW w:w="3134" w:type="pct"/>
          </w:tcPr>
          <w:p w14:paraId="29D5B44A" w14:textId="302A39B1" w:rsidR="009D126B" w:rsidRPr="009D126B" w:rsidRDefault="009D126B" w:rsidP="009D126B">
            <w:pPr>
              <w:numPr>
                <w:ilvl w:val="0"/>
                <w:numId w:val="4"/>
              </w:numPr>
              <w:autoSpaceDE w:val="0"/>
              <w:autoSpaceDN w:val="0"/>
              <w:adjustRightInd w:val="0"/>
              <w:rPr>
                <w:color w:val="000000"/>
              </w:rPr>
            </w:pPr>
            <w:r>
              <w:rPr>
                <w:color w:val="000000"/>
              </w:rPr>
              <w:t xml:space="preserve">Participating teachers </w:t>
            </w:r>
            <w:r w:rsidRPr="00D67799">
              <w:rPr>
                <w:color w:val="000000"/>
              </w:rPr>
              <w:t>will demonstrate</w:t>
            </w:r>
            <w:r>
              <w:rPr>
                <w:color w:val="000000"/>
              </w:rPr>
              <w:t xml:space="preserve"> an understanding of crosscultural factors that affect student learning and use of related, appropriate practices that foster high achievement among all students. </w:t>
            </w:r>
          </w:p>
        </w:tc>
        <w:tc>
          <w:tcPr>
            <w:tcW w:w="1866" w:type="pct"/>
          </w:tcPr>
          <w:p w14:paraId="06724969" w14:textId="77777777" w:rsidR="009D126B" w:rsidRDefault="009D126B" w:rsidP="009D126B">
            <w:pPr>
              <w:autoSpaceDE w:val="0"/>
              <w:autoSpaceDN w:val="0"/>
              <w:adjustRightInd w:val="0"/>
              <w:jc w:val="both"/>
              <w:rPr>
                <w:b/>
              </w:rPr>
            </w:pPr>
          </w:p>
        </w:tc>
      </w:tr>
    </w:tbl>
    <w:p w14:paraId="7B10E27D" w14:textId="45A5EC41" w:rsidR="009D126B" w:rsidRPr="00D24850" w:rsidRDefault="009D126B" w:rsidP="00283BB9">
      <w:pPr>
        <w:pStyle w:val="Heading2"/>
        <w:spacing w:before="240"/>
      </w:pPr>
      <w:r w:rsidRPr="00D24850">
        <w:t>Guideline 4: Planning and Delivering Appropriate Instruction Based on Assessment Data</w:t>
      </w:r>
      <w:r w:rsidR="00283BB9">
        <w:br/>
      </w:r>
      <w:r w:rsidRPr="00D24850">
        <w:t>I. Instructional Content</w:t>
      </w:r>
    </w:p>
    <w:p w14:paraId="553918FC" w14:textId="697B05EC" w:rsidR="009D126B" w:rsidRPr="00283BB9" w:rsidRDefault="009D126B" w:rsidP="00283BB9">
      <w:pPr>
        <w:spacing w:after="240"/>
        <w:rPr>
          <w:color w:val="000000"/>
        </w:rPr>
      </w:pPr>
      <w:r>
        <w:rPr>
          <w:color w:val="000000"/>
        </w:rPr>
        <w:t>Each staff development program shall:</w:t>
      </w:r>
    </w:p>
    <w:tbl>
      <w:tblP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3"/>
        <w:gridCol w:w="4020"/>
      </w:tblGrid>
      <w:tr w:rsidR="009D126B" w14:paraId="6799284E" w14:textId="77777777" w:rsidTr="009D126B">
        <w:trPr>
          <w:cantSplit/>
          <w:tblHeader/>
        </w:trPr>
        <w:tc>
          <w:tcPr>
            <w:tcW w:w="3141" w:type="pct"/>
          </w:tcPr>
          <w:p w14:paraId="47A94126" w14:textId="50E41B1D" w:rsidR="009D126B" w:rsidRDefault="009D126B" w:rsidP="009D126B">
            <w:pPr>
              <w:autoSpaceDE w:val="0"/>
              <w:autoSpaceDN w:val="0"/>
              <w:adjustRightInd w:val="0"/>
              <w:ind w:left="360"/>
              <w:rPr>
                <w:color w:val="000000"/>
              </w:rPr>
            </w:pPr>
            <w:r>
              <w:rPr>
                <w:b/>
              </w:rPr>
              <w:t>Guideline Components</w:t>
            </w:r>
          </w:p>
        </w:tc>
        <w:tc>
          <w:tcPr>
            <w:tcW w:w="1859" w:type="pct"/>
          </w:tcPr>
          <w:p w14:paraId="43351CA8" w14:textId="59F0F862" w:rsidR="009D126B" w:rsidRDefault="009D126B" w:rsidP="009D126B">
            <w:pPr>
              <w:autoSpaceDE w:val="0"/>
              <w:autoSpaceDN w:val="0"/>
              <w:adjustRightInd w:val="0"/>
              <w:jc w:val="both"/>
              <w:rPr>
                <w:b/>
              </w:rPr>
            </w:pPr>
            <w:r>
              <w:rPr>
                <w:b/>
              </w:rPr>
              <w:t>CTEL Course Number and Title</w:t>
            </w:r>
          </w:p>
        </w:tc>
      </w:tr>
      <w:tr w:rsidR="009D126B" w14:paraId="40A1C78C" w14:textId="77777777" w:rsidTr="009D126B">
        <w:trPr>
          <w:cantSplit/>
        </w:trPr>
        <w:tc>
          <w:tcPr>
            <w:tcW w:w="3141" w:type="pct"/>
          </w:tcPr>
          <w:p w14:paraId="6FF3994C" w14:textId="77777777" w:rsidR="009D126B" w:rsidRDefault="009D126B" w:rsidP="009D126B">
            <w:pPr>
              <w:numPr>
                <w:ilvl w:val="0"/>
                <w:numId w:val="5"/>
              </w:numPr>
              <w:autoSpaceDE w:val="0"/>
              <w:autoSpaceDN w:val="0"/>
              <w:adjustRightInd w:val="0"/>
              <w:rPr>
                <w:color w:val="000000"/>
              </w:rPr>
            </w:pPr>
            <w:r>
              <w:rPr>
                <w:color w:val="000000"/>
              </w:rPr>
              <w:t>Emphasize that assessment aligned to major learning objectives forms the foundation for evaluation, planning and delivery of high-quality instruction. In doing so, each program shall emphasize:</w:t>
            </w:r>
          </w:p>
          <w:p w14:paraId="6F4CEF38" w14:textId="77777777" w:rsidR="009D126B" w:rsidRDefault="009D126B" w:rsidP="009D126B">
            <w:pPr>
              <w:numPr>
                <w:ilvl w:val="1"/>
                <w:numId w:val="5"/>
              </w:numPr>
              <w:autoSpaceDE w:val="0"/>
              <w:autoSpaceDN w:val="0"/>
              <w:adjustRightInd w:val="0"/>
              <w:rPr>
                <w:color w:val="000000"/>
              </w:rPr>
            </w:pPr>
            <w:r>
              <w:rPr>
                <w:color w:val="000000"/>
              </w:rPr>
              <w:t>Links between informal assessment and formal evaluation, and ongoing instruction that is planned and revised based on evaluation results.</w:t>
            </w:r>
          </w:p>
          <w:p w14:paraId="758225DC" w14:textId="77777777" w:rsidR="009D126B" w:rsidRDefault="009D126B" w:rsidP="009D126B">
            <w:pPr>
              <w:autoSpaceDE w:val="0"/>
              <w:autoSpaceDN w:val="0"/>
              <w:adjustRightInd w:val="0"/>
              <w:jc w:val="both"/>
              <w:rPr>
                <w:color w:val="000000"/>
              </w:rPr>
            </w:pPr>
          </w:p>
        </w:tc>
        <w:tc>
          <w:tcPr>
            <w:tcW w:w="1859" w:type="pct"/>
          </w:tcPr>
          <w:p w14:paraId="1CF36621" w14:textId="77777777" w:rsidR="009D126B" w:rsidRDefault="009D126B" w:rsidP="009D126B">
            <w:pPr>
              <w:autoSpaceDE w:val="0"/>
              <w:autoSpaceDN w:val="0"/>
              <w:adjustRightInd w:val="0"/>
              <w:jc w:val="both"/>
              <w:rPr>
                <w:b/>
              </w:rPr>
            </w:pPr>
          </w:p>
        </w:tc>
      </w:tr>
      <w:tr w:rsidR="009D126B" w14:paraId="364E2ABE" w14:textId="77777777" w:rsidTr="009D126B">
        <w:trPr>
          <w:cantSplit/>
        </w:trPr>
        <w:tc>
          <w:tcPr>
            <w:tcW w:w="3141" w:type="pct"/>
          </w:tcPr>
          <w:p w14:paraId="19710B3F" w14:textId="77777777" w:rsidR="009D126B" w:rsidRDefault="009D126B" w:rsidP="009D126B">
            <w:pPr>
              <w:numPr>
                <w:ilvl w:val="1"/>
                <w:numId w:val="5"/>
              </w:numPr>
              <w:autoSpaceDE w:val="0"/>
              <w:autoSpaceDN w:val="0"/>
              <w:adjustRightInd w:val="0"/>
              <w:rPr>
                <w:color w:val="000000"/>
              </w:rPr>
            </w:pPr>
            <w:r>
              <w:rPr>
                <w:color w:val="000000"/>
              </w:rPr>
              <w:t>The importance of using a variety of formal and informal assessments at strategic points before, during and after standards-based instruction to ensure mastery of content.</w:t>
            </w:r>
          </w:p>
          <w:p w14:paraId="20C92B02" w14:textId="77777777" w:rsidR="009D126B" w:rsidRDefault="009D126B" w:rsidP="009D126B">
            <w:pPr>
              <w:autoSpaceDE w:val="0"/>
              <w:autoSpaceDN w:val="0"/>
              <w:adjustRightInd w:val="0"/>
              <w:jc w:val="both"/>
              <w:rPr>
                <w:color w:val="000000"/>
              </w:rPr>
            </w:pPr>
          </w:p>
        </w:tc>
        <w:tc>
          <w:tcPr>
            <w:tcW w:w="1859" w:type="pct"/>
          </w:tcPr>
          <w:p w14:paraId="6083AB44" w14:textId="77777777" w:rsidR="009D126B" w:rsidRDefault="009D126B" w:rsidP="009D126B">
            <w:pPr>
              <w:autoSpaceDE w:val="0"/>
              <w:autoSpaceDN w:val="0"/>
              <w:adjustRightInd w:val="0"/>
              <w:jc w:val="both"/>
              <w:rPr>
                <w:b/>
              </w:rPr>
            </w:pPr>
          </w:p>
        </w:tc>
      </w:tr>
      <w:tr w:rsidR="009D126B" w14:paraId="51CB7BF4" w14:textId="77777777" w:rsidTr="009D126B">
        <w:trPr>
          <w:cantSplit/>
        </w:trPr>
        <w:tc>
          <w:tcPr>
            <w:tcW w:w="3141" w:type="pct"/>
          </w:tcPr>
          <w:p w14:paraId="6FCA8919" w14:textId="77777777" w:rsidR="009D126B" w:rsidRDefault="009D126B" w:rsidP="009D126B">
            <w:pPr>
              <w:numPr>
                <w:ilvl w:val="0"/>
                <w:numId w:val="5"/>
              </w:numPr>
              <w:autoSpaceDE w:val="0"/>
              <w:autoSpaceDN w:val="0"/>
              <w:adjustRightInd w:val="0"/>
              <w:rPr>
                <w:color w:val="000000"/>
              </w:rPr>
            </w:pPr>
            <w:r>
              <w:rPr>
                <w:color w:val="000000"/>
              </w:rPr>
              <w:t xml:space="preserve">Explain </w:t>
            </w:r>
            <w:r w:rsidRPr="00D67799">
              <w:rPr>
                <w:color w:val="000000"/>
              </w:rPr>
              <w:t>the purpose of</w:t>
            </w:r>
            <w:r>
              <w:rPr>
                <w:color w:val="000000"/>
              </w:rPr>
              <w:t xml:space="preserve"> the California English Language Development Test (CELDT).  Define the proficiency levels (beginning, early intermediate, intermediate, early advanced, and advanced) and the four domains of language (listening, speaking, reading and writing). </w:t>
            </w:r>
          </w:p>
          <w:p w14:paraId="47FA6843" w14:textId="77777777" w:rsidR="009D126B" w:rsidRDefault="009D126B" w:rsidP="009D126B">
            <w:pPr>
              <w:autoSpaceDE w:val="0"/>
              <w:autoSpaceDN w:val="0"/>
              <w:adjustRightInd w:val="0"/>
              <w:jc w:val="both"/>
              <w:rPr>
                <w:color w:val="000000"/>
              </w:rPr>
            </w:pPr>
          </w:p>
        </w:tc>
        <w:tc>
          <w:tcPr>
            <w:tcW w:w="1859" w:type="pct"/>
          </w:tcPr>
          <w:p w14:paraId="6C7EA6A2" w14:textId="77777777" w:rsidR="009D126B" w:rsidRDefault="009D126B" w:rsidP="009D126B">
            <w:pPr>
              <w:autoSpaceDE w:val="0"/>
              <w:autoSpaceDN w:val="0"/>
              <w:adjustRightInd w:val="0"/>
              <w:jc w:val="both"/>
              <w:rPr>
                <w:b/>
              </w:rPr>
            </w:pPr>
          </w:p>
        </w:tc>
      </w:tr>
      <w:tr w:rsidR="009D126B" w14:paraId="2D4720F3" w14:textId="77777777" w:rsidTr="009D126B">
        <w:trPr>
          <w:cantSplit/>
        </w:trPr>
        <w:tc>
          <w:tcPr>
            <w:tcW w:w="3141" w:type="pct"/>
          </w:tcPr>
          <w:p w14:paraId="065F1716" w14:textId="77777777" w:rsidR="009D126B" w:rsidRPr="009765DB" w:rsidRDefault="009D126B" w:rsidP="009D126B">
            <w:pPr>
              <w:numPr>
                <w:ilvl w:val="0"/>
                <w:numId w:val="5"/>
              </w:numPr>
              <w:autoSpaceDE w:val="0"/>
              <w:autoSpaceDN w:val="0"/>
              <w:adjustRightInd w:val="0"/>
              <w:rPr>
                <w:color w:val="000000"/>
              </w:rPr>
            </w:pPr>
            <w:r w:rsidRPr="009765DB">
              <w:rPr>
                <w:color w:val="000000"/>
              </w:rPr>
              <w:t>Teach that quality assessment methods include a variety of ongoing monitoring strategies that allow students to demonstrate understanding and knowledge in a variety of verbal and nonverbal ways. Assessments should reinforce modes of communication that will be used on standardized tests, including state and industry licensure.</w:t>
            </w:r>
          </w:p>
        </w:tc>
        <w:tc>
          <w:tcPr>
            <w:tcW w:w="1859" w:type="pct"/>
          </w:tcPr>
          <w:p w14:paraId="0905597F" w14:textId="77777777" w:rsidR="009D126B" w:rsidRDefault="009D126B" w:rsidP="009D126B">
            <w:pPr>
              <w:autoSpaceDE w:val="0"/>
              <w:autoSpaceDN w:val="0"/>
              <w:adjustRightInd w:val="0"/>
              <w:rPr>
                <w:b/>
              </w:rPr>
            </w:pPr>
          </w:p>
        </w:tc>
      </w:tr>
      <w:tr w:rsidR="009D126B" w14:paraId="6E1F7050" w14:textId="77777777" w:rsidTr="009D126B">
        <w:trPr>
          <w:cantSplit/>
        </w:trPr>
        <w:tc>
          <w:tcPr>
            <w:tcW w:w="3141" w:type="pct"/>
          </w:tcPr>
          <w:p w14:paraId="37FDAD4F" w14:textId="548B6BBC" w:rsidR="009D126B" w:rsidRPr="00D478F6" w:rsidRDefault="009D126B" w:rsidP="009D126B">
            <w:pPr>
              <w:numPr>
                <w:ilvl w:val="0"/>
                <w:numId w:val="5"/>
              </w:numPr>
              <w:autoSpaceDE w:val="0"/>
              <w:autoSpaceDN w:val="0"/>
              <w:adjustRightInd w:val="0"/>
              <w:rPr>
                <w:color w:val="000000"/>
              </w:rPr>
            </w:pPr>
            <w:r>
              <w:rPr>
                <w:color w:val="000000"/>
              </w:rPr>
              <w:lastRenderedPageBreak/>
              <w:t>Teach participants strategies on how to provide specific, constructive feedback regarding students’ oral and written work.</w:t>
            </w:r>
          </w:p>
        </w:tc>
        <w:tc>
          <w:tcPr>
            <w:tcW w:w="1859" w:type="pct"/>
          </w:tcPr>
          <w:p w14:paraId="19EE82DF" w14:textId="77777777" w:rsidR="009D126B" w:rsidRPr="00B22729" w:rsidRDefault="009D126B" w:rsidP="00D24850">
            <w:pPr>
              <w:pStyle w:val="Heading2"/>
            </w:pPr>
          </w:p>
        </w:tc>
      </w:tr>
    </w:tbl>
    <w:p w14:paraId="15281818" w14:textId="12C08168" w:rsidR="009D126B" w:rsidRPr="00D24850" w:rsidRDefault="009D126B" w:rsidP="00283BB9">
      <w:pPr>
        <w:pStyle w:val="Heading2"/>
        <w:spacing w:before="240"/>
      </w:pPr>
      <w:r w:rsidRPr="00D24850">
        <w:t>Guideline 4: Planning and Delivering Appropriate Instruction Based on Assessment Data</w:t>
      </w:r>
      <w:r w:rsidR="00283BB9">
        <w:br/>
      </w:r>
      <w:r w:rsidRPr="00D24850">
        <w:t>II. Participant Competence</w:t>
      </w:r>
    </w:p>
    <w:p w14:paraId="566FB55C" w14:textId="5152A54E" w:rsidR="009D126B" w:rsidRPr="00283BB9" w:rsidRDefault="009D126B" w:rsidP="00283BB9">
      <w:pPr>
        <w:spacing w:after="240"/>
        <w:rPr>
          <w:color w:val="000000"/>
        </w:rPr>
      </w:pPr>
      <w:r>
        <w:rPr>
          <w:color w:val="000000"/>
        </w:rPr>
        <w:t>Participating teachers shall demonstrate:</w:t>
      </w:r>
    </w:p>
    <w:tbl>
      <w:tblP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3"/>
        <w:gridCol w:w="4020"/>
      </w:tblGrid>
      <w:tr w:rsidR="009D126B" w14:paraId="34D837D0" w14:textId="77777777" w:rsidTr="00283BB9">
        <w:trPr>
          <w:cantSplit/>
          <w:tblHeader/>
        </w:trPr>
        <w:tc>
          <w:tcPr>
            <w:tcW w:w="3141" w:type="pct"/>
          </w:tcPr>
          <w:p w14:paraId="4377EF9D" w14:textId="29FE3FA4" w:rsidR="009D126B" w:rsidRDefault="009D126B" w:rsidP="009D126B">
            <w:pPr>
              <w:autoSpaceDE w:val="0"/>
              <w:autoSpaceDN w:val="0"/>
              <w:adjustRightInd w:val="0"/>
              <w:ind w:left="360"/>
              <w:jc w:val="both"/>
              <w:rPr>
                <w:color w:val="000000"/>
              </w:rPr>
            </w:pPr>
            <w:r>
              <w:rPr>
                <w:b/>
              </w:rPr>
              <w:t>Guideline Components</w:t>
            </w:r>
          </w:p>
        </w:tc>
        <w:tc>
          <w:tcPr>
            <w:tcW w:w="1859" w:type="pct"/>
          </w:tcPr>
          <w:p w14:paraId="6B303E70" w14:textId="19DC3E36" w:rsidR="009D126B" w:rsidRDefault="009D126B" w:rsidP="009D126B">
            <w:pPr>
              <w:autoSpaceDE w:val="0"/>
              <w:autoSpaceDN w:val="0"/>
              <w:adjustRightInd w:val="0"/>
              <w:jc w:val="both"/>
              <w:rPr>
                <w:b/>
              </w:rPr>
            </w:pPr>
            <w:r>
              <w:rPr>
                <w:b/>
              </w:rPr>
              <w:t>CTEL Course Number and Title</w:t>
            </w:r>
          </w:p>
        </w:tc>
      </w:tr>
      <w:tr w:rsidR="009D126B" w14:paraId="5F7DCD0F" w14:textId="77777777" w:rsidTr="00283BB9">
        <w:trPr>
          <w:cantSplit/>
        </w:trPr>
        <w:tc>
          <w:tcPr>
            <w:tcW w:w="3141" w:type="pct"/>
          </w:tcPr>
          <w:p w14:paraId="4C4556BF" w14:textId="7553906E" w:rsidR="009D126B" w:rsidRPr="009D126B" w:rsidRDefault="009D126B" w:rsidP="009D126B">
            <w:pPr>
              <w:numPr>
                <w:ilvl w:val="0"/>
                <w:numId w:val="6"/>
              </w:numPr>
              <w:autoSpaceDE w:val="0"/>
              <w:autoSpaceDN w:val="0"/>
              <w:adjustRightInd w:val="0"/>
              <w:jc w:val="both"/>
              <w:rPr>
                <w:color w:val="000000"/>
              </w:rPr>
            </w:pPr>
            <w:r>
              <w:rPr>
                <w:color w:val="000000"/>
              </w:rPr>
              <w:t>Knowledge of the ongoing cycle of assessment, evaluation and instruction as it relates to English Learners.</w:t>
            </w:r>
          </w:p>
        </w:tc>
        <w:tc>
          <w:tcPr>
            <w:tcW w:w="1859" w:type="pct"/>
          </w:tcPr>
          <w:p w14:paraId="1B1DC0E5" w14:textId="77777777" w:rsidR="009D126B" w:rsidRDefault="009D126B" w:rsidP="009D126B">
            <w:pPr>
              <w:autoSpaceDE w:val="0"/>
              <w:autoSpaceDN w:val="0"/>
              <w:adjustRightInd w:val="0"/>
              <w:jc w:val="both"/>
              <w:rPr>
                <w:b/>
              </w:rPr>
            </w:pPr>
          </w:p>
        </w:tc>
      </w:tr>
      <w:tr w:rsidR="009D126B" w14:paraId="0963C494" w14:textId="77777777" w:rsidTr="00283BB9">
        <w:trPr>
          <w:cantSplit/>
        </w:trPr>
        <w:tc>
          <w:tcPr>
            <w:tcW w:w="3141" w:type="pct"/>
          </w:tcPr>
          <w:p w14:paraId="7B2989E3" w14:textId="111C9502" w:rsidR="009D126B" w:rsidRPr="009D126B" w:rsidRDefault="009D126B" w:rsidP="009D126B">
            <w:pPr>
              <w:numPr>
                <w:ilvl w:val="0"/>
                <w:numId w:val="6"/>
              </w:numPr>
              <w:autoSpaceDE w:val="0"/>
              <w:autoSpaceDN w:val="0"/>
              <w:adjustRightInd w:val="0"/>
              <w:rPr>
                <w:color w:val="000000"/>
              </w:rPr>
            </w:pPr>
            <w:r>
              <w:rPr>
                <w:color w:val="000000"/>
              </w:rPr>
              <w:t>Ability to plan and modify instruction based on both formal and informal assessed needs of students.</w:t>
            </w:r>
          </w:p>
        </w:tc>
        <w:tc>
          <w:tcPr>
            <w:tcW w:w="1859" w:type="pct"/>
          </w:tcPr>
          <w:p w14:paraId="039BC1BB" w14:textId="77777777" w:rsidR="009D126B" w:rsidRDefault="009D126B" w:rsidP="009D126B">
            <w:pPr>
              <w:autoSpaceDE w:val="0"/>
              <w:autoSpaceDN w:val="0"/>
              <w:adjustRightInd w:val="0"/>
              <w:jc w:val="both"/>
              <w:rPr>
                <w:b/>
              </w:rPr>
            </w:pPr>
          </w:p>
        </w:tc>
      </w:tr>
      <w:tr w:rsidR="009D126B" w14:paraId="26325F9A" w14:textId="77777777" w:rsidTr="00283BB9">
        <w:trPr>
          <w:cantSplit/>
        </w:trPr>
        <w:tc>
          <w:tcPr>
            <w:tcW w:w="3141" w:type="pct"/>
          </w:tcPr>
          <w:p w14:paraId="6A63F856" w14:textId="53E533EB" w:rsidR="009D126B" w:rsidRPr="009D126B" w:rsidRDefault="009D126B" w:rsidP="009D126B">
            <w:pPr>
              <w:numPr>
                <w:ilvl w:val="0"/>
                <w:numId w:val="6"/>
              </w:numPr>
              <w:autoSpaceDE w:val="0"/>
              <w:autoSpaceDN w:val="0"/>
              <w:adjustRightInd w:val="0"/>
              <w:rPr>
                <w:color w:val="000000"/>
              </w:rPr>
            </w:pPr>
            <w:r>
              <w:rPr>
                <w:color w:val="000000"/>
              </w:rPr>
              <w:t>Knowledge of the purposes, content and uses of California's English Language Development Standards and the CELDT.</w:t>
            </w:r>
          </w:p>
        </w:tc>
        <w:tc>
          <w:tcPr>
            <w:tcW w:w="1859" w:type="pct"/>
          </w:tcPr>
          <w:p w14:paraId="183AE365" w14:textId="77777777" w:rsidR="009D126B" w:rsidRDefault="009D126B" w:rsidP="009D126B">
            <w:pPr>
              <w:autoSpaceDE w:val="0"/>
              <w:autoSpaceDN w:val="0"/>
              <w:adjustRightInd w:val="0"/>
              <w:jc w:val="both"/>
              <w:rPr>
                <w:b/>
              </w:rPr>
            </w:pPr>
          </w:p>
        </w:tc>
      </w:tr>
    </w:tbl>
    <w:p w14:paraId="722D6151" w14:textId="5050C517" w:rsidR="009D126B" w:rsidRPr="00D24850" w:rsidRDefault="009D126B" w:rsidP="00283BB9">
      <w:pPr>
        <w:pStyle w:val="Heading2"/>
        <w:spacing w:before="240"/>
      </w:pPr>
      <w:r w:rsidRPr="00D24850">
        <w:t>Guideline 5: SDAIE Methods</w:t>
      </w:r>
      <w:r w:rsidR="00283BB9">
        <w:br/>
      </w:r>
      <w:r w:rsidRPr="00D24850">
        <w:t>I. Instructional Content</w:t>
      </w:r>
    </w:p>
    <w:p w14:paraId="2DC0E714" w14:textId="41A4A103" w:rsidR="009D126B" w:rsidRPr="00283BB9" w:rsidRDefault="009D126B" w:rsidP="00283BB9">
      <w:pPr>
        <w:spacing w:after="240"/>
        <w:rPr>
          <w:color w:val="000000"/>
        </w:rPr>
      </w:pPr>
      <w:r>
        <w:rPr>
          <w:color w:val="000000"/>
        </w:rPr>
        <w:t>Each staff development program shall:</w:t>
      </w:r>
    </w:p>
    <w:tbl>
      <w:tblP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3"/>
        <w:gridCol w:w="4020"/>
      </w:tblGrid>
      <w:tr w:rsidR="009D126B" w14:paraId="63FD2E52" w14:textId="77777777" w:rsidTr="009D126B">
        <w:trPr>
          <w:cantSplit/>
          <w:tblHeader/>
        </w:trPr>
        <w:tc>
          <w:tcPr>
            <w:tcW w:w="3141" w:type="pct"/>
          </w:tcPr>
          <w:p w14:paraId="1B713197" w14:textId="0DEB7B23" w:rsidR="009D126B" w:rsidRPr="009D126B" w:rsidRDefault="009D126B" w:rsidP="009D126B">
            <w:pPr>
              <w:autoSpaceDE w:val="0"/>
              <w:autoSpaceDN w:val="0"/>
              <w:adjustRightInd w:val="0"/>
              <w:rPr>
                <w:b/>
                <w:bCs/>
                <w:color w:val="000000"/>
              </w:rPr>
            </w:pPr>
            <w:r>
              <w:rPr>
                <w:b/>
              </w:rPr>
              <w:t>Guideline Components</w:t>
            </w:r>
          </w:p>
        </w:tc>
        <w:tc>
          <w:tcPr>
            <w:tcW w:w="1859" w:type="pct"/>
          </w:tcPr>
          <w:p w14:paraId="60883243" w14:textId="1DDF9A3A" w:rsidR="009D126B" w:rsidRDefault="009D126B" w:rsidP="009D126B">
            <w:pPr>
              <w:autoSpaceDE w:val="0"/>
              <w:autoSpaceDN w:val="0"/>
              <w:adjustRightInd w:val="0"/>
              <w:jc w:val="both"/>
              <w:rPr>
                <w:b/>
              </w:rPr>
            </w:pPr>
            <w:r>
              <w:rPr>
                <w:b/>
              </w:rPr>
              <w:t>CTEL Course Number and Title</w:t>
            </w:r>
          </w:p>
        </w:tc>
      </w:tr>
      <w:tr w:rsidR="009D126B" w14:paraId="4B73F6E8" w14:textId="77777777" w:rsidTr="009D126B">
        <w:trPr>
          <w:cantSplit/>
        </w:trPr>
        <w:tc>
          <w:tcPr>
            <w:tcW w:w="3141" w:type="pct"/>
          </w:tcPr>
          <w:p w14:paraId="1F67A9A4" w14:textId="7B70A942" w:rsidR="009D126B" w:rsidRPr="009D126B" w:rsidRDefault="009D126B" w:rsidP="009D126B">
            <w:pPr>
              <w:numPr>
                <w:ilvl w:val="0"/>
                <w:numId w:val="7"/>
              </w:numPr>
              <w:autoSpaceDE w:val="0"/>
              <w:autoSpaceDN w:val="0"/>
              <w:adjustRightInd w:val="0"/>
              <w:rPr>
                <w:color w:val="000000"/>
              </w:rPr>
            </w:pPr>
            <w:r>
              <w:rPr>
                <w:color w:val="000000"/>
              </w:rPr>
              <w:t>Include a series of opportunities for participating teachers to understand and practice appropriate use of planned, systematic instructional practices that make content comprehensible to English Learners and promote English language development.</w:t>
            </w:r>
          </w:p>
        </w:tc>
        <w:tc>
          <w:tcPr>
            <w:tcW w:w="1859" w:type="pct"/>
          </w:tcPr>
          <w:p w14:paraId="66E3C7C6" w14:textId="77777777" w:rsidR="009D126B" w:rsidRDefault="009D126B" w:rsidP="009D126B">
            <w:pPr>
              <w:autoSpaceDE w:val="0"/>
              <w:autoSpaceDN w:val="0"/>
              <w:adjustRightInd w:val="0"/>
              <w:jc w:val="both"/>
              <w:rPr>
                <w:b/>
              </w:rPr>
            </w:pPr>
          </w:p>
        </w:tc>
      </w:tr>
      <w:tr w:rsidR="009D126B" w14:paraId="73CD396C" w14:textId="77777777" w:rsidTr="009D126B">
        <w:trPr>
          <w:cantSplit/>
        </w:trPr>
        <w:tc>
          <w:tcPr>
            <w:tcW w:w="3141" w:type="pct"/>
          </w:tcPr>
          <w:p w14:paraId="72E072E5" w14:textId="494C0060" w:rsidR="009D126B" w:rsidRPr="009D126B" w:rsidRDefault="009D126B" w:rsidP="009D126B">
            <w:pPr>
              <w:numPr>
                <w:ilvl w:val="0"/>
                <w:numId w:val="7"/>
              </w:numPr>
              <w:autoSpaceDE w:val="0"/>
              <w:autoSpaceDN w:val="0"/>
              <w:adjustRightInd w:val="0"/>
              <w:rPr>
                <w:color w:val="000000"/>
              </w:rPr>
            </w:pPr>
            <w:r>
              <w:rPr>
                <w:color w:val="000000"/>
              </w:rPr>
              <w:t>Provide participating teachers with an understanding of how pedagogical theory, principles and practices that promote proficiency in the content are influenced by classroom organization and instruction in methods of SDAIE.</w:t>
            </w:r>
          </w:p>
        </w:tc>
        <w:tc>
          <w:tcPr>
            <w:tcW w:w="1859" w:type="pct"/>
          </w:tcPr>
          <w:p w14:paraId="27A4AEA8" w14:textId="77777777" w:rsidR="009D126B" w:rsidRPr="00B22729" w:rsidRDefault="009D126B" w:rsidP="009D126B">
            <w:pPr>
              <w:autoSpaceDE w:val="0"/>
              <w:autoSpaceDN w:val="0"/>
              <w:adjustRightInd w:val="0"/>
            </w:pPr>
          </w:p>
        </w:tc>
      </w:tr>
      <w:tr w:rsidR="009D126B" w14:paraId="00DA06C9" w14:textId="77777777" w:rsidTr="009D126B">
        <w:trPr>
          <w:cantSplit/>
        </w:trPr>
        <w:tc>
          <w:tcPr>
            <w:tcW w:w="3141" w:type="pct"/>
          </w:tcPr>
          <w:p w14:paraId="3CA3F3FE" w14:textId="7819A057" w:rsidR="009D126B" w:rsidRPr="009D126B" w:rsidRDefault="009D126B" w:rsidP="009D126B">
            <w:pPr>
              <w:numPr>
                <w:ilvl w:val="0"/>
                <w:numId w:val="7"/>
              </w:numPr>
              <w:autoSpaceDE w:val="0"/>
              <w:autoSpaceDN w:val="0"/>
              <w:adjustRightInd w:val="0"/>
              <w:rPr>
                <w:color w:val="000000"/>
              </w:rPr>
            </w:pPr>
            <w:r>
              <w:rPr>
                <w:color w:val="000000"/>
              </w:rPr>
              <w:t xml:space="preserve">Provide guidance to participating teachers on when and how to use primary language support, </w:t>
            </w:r>
          </w:p>
        </w:tc>
        <w:tc>
          <w:tcPr>
            <w:tcW w:w="1859" w:type="pct"/>
          </w:tcPr>
          <w:p w14:paraId="78D43AA0" w14:textId="77777777" w:rsidR="009D126B" w:rsidRPr="00B22729" w:rsidRDefault="009D126B" w:rsidP="009D126B">
            <w:pPr>
              <w:autoSpaceDE w:val="0"/>
              <w:autoSpaceDN w:val="0"/>
              <w:adjustRightInd w:val="0"/>
            </w:pPr>
          </w:p>
        </w:tc>
      </w:tr>
      <w:tr w:rsidR="009D126B" w14:paraId="3C540663" w14:textId="77777777" w:rsidTr="009D126B">
        <w:trPr>
          <w:cantSplit/>
        </w:trPr>
        <w:tc>
          <w:tcPr>
            <w:tcW w:w="3141" w:type="pct"/>
          </w:tcPr>
          <w:p w14:paraId="727682C9" w14:textId="02DE8AB6" w:rsidR="009D126B" w:rsidRPr="009D126B" w:rsidRDefault="009D126B" w:rsidP="009D126B">
            <w:pPr>
              <w:numPr>
                <w:ilvl w:val="0"/>
                <w:numId w:val="7"/>
              </w:numPr>
              <w:autoSpaceDE w:val="0"/>
              <w:autoSpaceDN w:val="0"/>
              <w:adjustRightInd w:val="0"/>
              <w:rPr>
                <w:color w:val="000000"/>
              </w:rPr>
            </w:pPr>
            <w:r>
              <w:rPr>
                <w:color w:val="000000"/>
              </w:rPr>
              <w:t>Provide guidance to participating teachers on how and when to enlist help from specialists and paraprofessionals.</w:t>
            </w:r>
          </w:p>
        </w:tc>
        <w:tc>
          <w:tcPr>
            <w:tcW w:w="1859" w:type="pct"/>
          </w:tcPr>
          <w:p w14:paraId="47845F97" w14:textId="77777777" w:rsidR="009D126B" w:rsidRDefault="009D126B" w:rsidP="009D126B">
            <w:pPr>
              <w:autoSpaceDE w:val="0"/>
              <w:autoSpaceDN w:val="0"/>
              <w:adjustRightInd w:val="0"/>
              <w:jc w:val="both"/>
              <w:rPr>
                <w:b/>
              </w:rPr>
            </w:pPr>
          </w:p>
        </w:tc>
      </w:tr>
      <w:tr w:rsidR="009D126B" w14:paraId="3DFF10A3" w14:textId="77777777" w:rsidTr="009D126B">
        <w:trPr>
          <w:cantSplit/>
        </w:trPr>
        <w:tc>
          <w:tcPr>
            <w:tcW w:w="3141" w:type="pct"/>
          </w:tcPr>
          <w:p w14:paraId="7E85D855" w14:textId="77777777" w:rsidR="009D126B" w:rsidRDefault="009D126B" w:rsidP="009D126B">
            <w:pPr>
              <w:numPr>
                <w:ilvl w:val="0"/>
                <w:numId w:val="7"/>
              </w:numPr>
              <w:autoSpaceDE w:val="0"/>
              <w:autoSpaceDN w:val="0"/>
              <w:adjustRightInd w:val="0"/>
              <w:rPr>
                <w:color w:val="000000"/>
                <w:sz w:val="22"/>
                <w:szCs w:val="22"/>
              </w:rPr>
            </w:pPr>
            <w:r>
              <w:rPr>
                <w:color w:val="000000"/>
                <w:sz w:val="22"/>
                <w:szCs w:val="22"/>
              </w:rPr>
              <w:t>Teach, model and demonstrate instructional strategies that help participating teachers use the following:</w:t>
            </w:r>
          </w:p>
          <w:p w14:paraId="6FC922F2" w14:textId="77777777" w:rsidR="009D126B" w:rsidRDefault="009D126B" w:rsidP="009D126B">
            <w:pPr>
              <w:numPr>
                <w:ilvl w:val="1"/>
                <w:numId w:val="7"/>
              </w:numPr>
              <w:autoSpaceDE w:val="0"/>
              <w:autoSpaceDN w:val="0"/>
              <w:adjustRightInd w:val="0"/>
              <w:rPr>
                <w:color w:val="000000"/>
                <w:sz w:val="22"/>
                <w:szCs w:val="22"/>
              </w:rPr>
            </w:pPr>
            <w:r>
              <w:rPr>
                <w:color w:val="000000"/>
                <w:sz w:val="22"/>
                <w:szCs w:val="22"/>
              </w:rPr>
              <w:t xml:space="preserve">Scaffolding strategies that move students from dependence to independence in their learning  </w:t>
            </w:r>
          </w:p>
          <w:p w14:paraId="124E97AD" w14:textId="77777777" w:rsidR="009D126B" w:rsidRDefault="009D126B" w:rsidP="009D126B">
            <w:pPr>
              <w:numPr>
                <w:ilvl w:val="1"/>
                <w:numId w:val="7"/>
              </w:numPr>
              <w:autoSpaceDE w:val="0"/>
              <w:autoSpaceDN w:val="0"/>
              <w:adjustRightInd w:val="0"/>
              <w:rPr>
                <w:color w:val="000000"/>
                <w:sz w:val="22"/>
                <w:szCs w:val="22"/>
              </w:rPr>
            </w:pPr>
            <w:r>
              <w:rPr>
                <w:color w:val="000000"/>
                <w:sz w:val="22"/>
                <w:szCs w:val="22"/>
              </w:rPr>
              <w:t>Diagnostic teaching strategies that combine pre-teaching, teaching and re-teaching; focus on key skills and understanding; and practice</w:t>
            </w:r>
          </w:p>
          <w:p w14:paraId="6C1D81C4" w14:textId="77777777" w:rsidR="009D126B" w:rsidRDefault="009D126B" w:rsidP="009D126B">
            <w:pPr>
              <w:numPr>
                <w:ilvl w:val="1"/>
                <w:numId w:val="7"/>
              </w:numPr>
              <w:autoSpaceDE w:val="0"/>
              <w:autoSpaceDN w:val="0"/>
              <w:adjustRightInd w:val="0"/>
              <w:rPr>
                <w:color w:val="000000"/>
                <w:sz w:val="22"/>
                <w:szCs w:val="22"/>
              </w:rPr>
            </w:pPr>
            <w:r>
              <w:rPr>
                <w:color w:val="000000"/>
                <w:sz w:val="22"/>
                <w:szCs w:val="22"/>
              </w:rPr>
              <w:t>Strategies to help students develop vocabulary, understand new concepts and use reference materials</w:t>
            </w:r>
          </w:p>
          <w:p w14:paraId="430825B4" w14:textId="77777777" w:rsidR="009D126B" w:rsidRDefault="009D126B" w:rsidP="009D126B">
            <w:pPr>
              <w:numPr>
                <w:ilvl w:val="1"/>
                <w:numId w:val="7"/>
              </w:numPr>
              <w:autoSpaceDE w:val="0"/>
              <w:autoSpaceDN w:val="0"/>
              <w:adjustRightInd w:val="0"/>
              <w:rPr>
                <w:color w:val="000000"/>
                <w:sz w:val="22"/>
                <w:szCs w:val="22"/>
              </w:rPr>
            </w:pPr>
            <w:r>
              <w:rPr>
                <w:color w:val="000000"/>
                <w:sz w:val="22"/>
                <w:szCs w:val="22"/>
              </w:rPr>
              <w:t>Instructional strategies that help students master technical vocabulary needed to comprehend content and procedures in order to participate successfully and safely in career technology settings</w:t>
            </w:r>
          </w:p>
          <w:p w14:paraId="2A9B3AA4" w14:textId="342025A4" w:rsidR="009D126B" w:rsidRDefault="009D126B" w:rsidP="009D126B">
            <w:pPr>
              <w:numPr>
                <w:ilvl w:val="1"/>
                <w:numId w:val="7"/>
              </w:numPr>
              <w:autoSpaceDE w:val="0"/>
              <w:autoSpaceDN w:val="0"/>
              <w:adjustRightInd w:val="0"/>
              <w:rPr>
                <w:color w:val="000000"/>
                <w:sz w:val="22"/>
                <w:szCs w:val="22"/>
              </w:rPr>
            </w:pPr>
            <w:r>
              <w:rPr>
                <w:color w:val="000000"/>
                <w:sz w:val="22"/>
                <w:szCs w:val="22"/>
              </w:rPr>
              <w:t xml:space="preserve">Strategies to help students advocate for themselves in the learning process by teaching </w:t>
            </w:r>
            <w:r w:rsidR="00283BB9">
              <w:rPr>
                <w:color w:val="000000"/>
                <w:sz w:val="22"/>
                <w:szCs w:val="22"/>
              </w:rPr>
              <w:t>students’</w:t>
            </w:r>
            <w:r>
              <w:rPr>
                <w:color w:val="000000"/>
                <w:sz w:val="22"/>
                <w:szCs w:val="22"/>
              </w:rPr>
              <w:t xml:space="preserve"> ways to ask for clarification </w:t>
            </w:r>
          </w:p>
          <w:p w14:paraId="56ECBC31" w14:textId="71B7CD59" w:rsidR="009D126B" w:rsidRPr="009D126B" w:rsidRDefault="009D126B" w:rsidP="009D126B">
            <w:pPr>
              <w:numPr>
                <w:ilvl w:val="1"/>
                <w:numId w:val="7"/>
              </w:numPr>
              <w:autoSpaceDE w:val="0"/>
              <w:autoSpaceDN w:val="0"/>
              <w:adjustRightInd w:val="0"/>
              <w:rPr>
                <w:color w:val="000000"/>
                <w:sz w:val="22"/>
                <w:szCs w:val="22"/>
              </w:rPr>
            </w:pPr>
            <w:r>
              <w:rPr>
                <w:color w:val="000000"/>
                <w:sz w:val="22"/>
                <w:szCs w:val="22"/>
              </w:rPr>
              <w:t xml:space="preserve">A variety of verbal and </w:t>
            </w:r>
            <w:r w:rsidR="00283BB9">
              <w:rPr>
                <w:color w:val="000000"/>
                <w:sz w:val="22"/>
                <w:szCs w:val="22"/>
              </w:rPr>
              <w:t>nonverbal</w:t>
            </w:r>
            <w:r>
              <w:rPr>
                <w:color w:val="000000"/>
                <w:sz w:val="22"/>
                <w:szCs w:val="22"/>
              </w:rPr>
              <w:t xml:space="preserve"> means to monitor students’ comprehension.</w:t>
            </w:r>
          </w:p>
        </w:tc>
        <w:tc>
          <w:tcPr>
            <w:tcW w:w="1859" w:type="pct"/>
          </w:tcPr>
          <w:p w14:paraId="52FC8ECC" w14:textId="77777777" w:rsidR="009D126B" w:rsidRPr="00B22729" w:rsidRDefault="009D126B" w:rsidP="009D126B">
            <w:pPr>
              <w:autoSpaceDE w:val="0"/>
              <w:autoSpaceDN w:val="0"/>
              <w:adjustRightInd w:val="0"/>
              <w:jc w:val="both"/>
            </w:pPr>
          </w:p>
        </w:tc>
      </w:tr>
      <w:tr w:rsidR="009D126B" w14:paraId="6A556F47" w14:textId="77777777" w:rsidTr="009D126B">
        <w:trPr>
          <w:cantSplit/>
        </w:trPr>
        <w:tc>
          <w:tcPr>
            <w:tcW w:w="3141" w:type="pct"/>
          </w:tcPr>
          <w:p w14:paraId="68B38E3C" w14:textId="22016069" w:rsidR="009D126B" w:rsidRPr="009D126B" w:rsidRDefault="009D126B" w:rsidP="009D126B">
            <w:pPr>
              <w:numPr>
                <w:ilvl w:val="0"/>
                <w:numId w:val="7"/>
              </w:numPr>
              <w:autoSpaceDE w:val="0"/>
              <w:autoSpaceDN w:val="0"/>
              <w:adjustRightInd w:val="0"/>
              <w:rPr>
                <w:color w:val="000000"/>
              </w:rPr>
            </w:pPr>
            <w:r>
              <w:rPr>
                <w:color w:val="000000"/>
              </w:rPr>
              <w:lastRenderedPageBreak/>
              <w:t>Teach participants to evaluate and build on each student’s prior knowledge in relation to the instructional standards, including primary language literacy and previous educational experiences.</w:t>
            </w:r>
          </w:p>
        </w:tc>
        <w:tc>
          <w:tcPr>
            <w:tcW w:w="1859" w:type="pct"/>
          </w:tcPr>
          <w:p w14:paraId="4B64852A" w14:textId="77777777" w:rsidR="009D126B" w:rsidRDefault="009D126B" w:rsidP="009D126B">
            <w:pPr>
              <w:autoSpaceDE w:val="0"/>
              <w:autoSpaceDN w:val="0"/>
              <w:adjustRightInd w:val="0"/>
              <w:rPr>
                <w:b/>
              </w:rPr>
            </w:pPr>
          </w:p>
        </w:tc>
      </w:tr>
      <w:tr w:rsidR="009D126B" w14:paraId="51521C9A" w14:textId="77777777" w:rsidTr="009D126B">
        <w:trPr>
          <w:cantSplit/>
        </w:trPr>
        <w:tc>
          <w:tcPr>
            <w:tcW w:w="3141" w:type="pct"/>
          </w:tcPr>
          <w:p w14:paraId="6A9ADA85" w14:textId="77777777" w:rsidR="009D126B" w:rsidRDefault="009D126B" w:rsidP="009D126B">
            <w:pPr>
              <w:numPr>
                <w:ilvl w:val="0"/>
                <w:numId w:val="7"/>
              </w:numPr>
              <w:autoSpaceDE w:val="0"/>
              <w:autoSpaceDN w:val="0"/>
              <w:adjustRightInd w:val="0"/>
              <w:rPr>
                <w:color w:val="000000"/>
              </w:rPr>
            </w:pPr>
            <w:r>
              <w:rPr>
                <w:color w:val="000000"/>
              </w:rPr>
              <w:t>Teach participants to differentiate instruction by varying:</w:t>
            </w:r>
          </w:p>
          <w:p w14:paraId="51BE1774" w14:textId="77777777" w:rsidR="009D126B" w:rsidRDefault="009D126B" w:rsidP="009D126B">
            <w:pPr>
              <w:numPr>
                <w:ilvl w:val="1"/>
                <w:numId w:val="7"/>
              </w:numPr>
              <w:autoSpaceDE w:val="0"/>
              <w:autoSpaceDN w:val="0"/>
              <w:adjustRightInd w:val="0"/>
              <w:rPr>
                <w:color w:val="000000"/>
              </w:rPr>
            </w:pPr>
            <w:r>
              <w:rPr>
                <w:color w:val="000000"/>
              </w:rPr>
              <w:t>Pace of instruction, to provide the same rigorous content but over an extended period, allowing for additional reinforcement of the more difficult concepts</w:t>
            </w:r>
          </w:p>
          <w:p w14:paraId="04968FA4" w14:textId="77777777" w:rsidR="009D126B" w:rsidRDefault="009D126B" w:rsidP="009D126B">
            <w:pPr>
              <w:numPr>
                <w:ilvl w:val="1"/>
                <w:numId w:val="7"/>
              </w:numPr>
              <w:autoSpaceDE w:val="0"/>
              <w:autoSpaceDN w:val="0"/>
              <w:adjustRightInd w:val="0"/>
              <w:rPr>
                <w:color w:val="000000"/>
              </w:rPr>
            </w:pPr>
            <w:r>
              <w:rPr>
                <w:color w:val="000000"/>
              </w:rPr>
              <w:t>The complexity of instruction, in order to focus on the key standards, concepts, and skills</w:t>
            </w:r>
          </w:p>
          <w:p w14:paraId="72D8DDA9" w14:textId="7908FAC9" w:rsidR="009D126B" w:rsidRPr="009D126B" w:rsidRDefault="009D126B" w:rsidP="009D126B">
            <w:pPr>
              <w:numPr>
                <w:ilvl w:val="1"/>
                <w:numId w:val="7"/>
              </w:numPr>
              <w:autoSpaceDE w:val="0"/>
              <w:autoSpaceDN w:val="0"/>
              <w:adjustRightInd w:val="0"/>
              <w:rPr>
                <w:color w:val="000000"/>
              </w:rPr>
            </w:pPr>
            <w:r>
              <w:rPr>
                <w:color w:val="000000"/>
              </w:rPr>
              <w:t>Instructional activities that enhance student engagement.</w:t>
            </w:r>
          </w:p>
        </w:tc>
        <w:tc>
          <w:tcPr>
            <w:tcW w:w="1859" w:type="pct"/>
          </w:tcPr>
          <w:p w14:paraId="04BC92A3" w14:textId="77777777" w:rsidR="009D126B" w:rsidRDefault="009D126B" w:rsidP="009D126B">
            <w:pPr>
              <w:autoSpaceDE w:val="0"/>
              <w:autoSpaceDN w:val="0"/>
              <w:adjustRightInd w:val="0"/>
              <w:jc w:val="both"/>
              <w:rPr>
                <w:b/>
              </w:rPr>
            </w:pPr>
          </w:p>
        </w:tc>
      </w:tr>
      <w:tr w:rsidR="009D126B" w14:paraId="7C1836D4" w14:textId="77777777" w:rsidTr="009D126B">
        <w:trPr>
          <w:cantSplit/>
        </w:trPr>
        <w:tc>
          <w:tcPr>
            <w:tcW w:w="3141" w:type="pct"/>
          </w:tcPr>
          <w:p w14:paraId="2C35FB67" w14:textId="49B0E074" w:rsidR="009D126B" w:rsidRPr="009D126B" w:rsidRDefault="009D126B" w:rsidP="009D126B">
            <w:pPr>
              <w:numPr>
                <w:ilvl w:val="0"/>
                <w:numId w:val="7"/>
              </w:numPr>
              <w:autoSpaceDE w:val="0"/>
              <w:autoSpaceDN w:val="0"/>
              <w:adjustRightInd w:val="0"/>
              <w:rPr>
                <w:color w:val="000000"/>
              </w:rPr>
            </w:pPr>
            <w:r>
              <w:rPr>
                <w:color w:val="000000"/>
              </w:rPr>
              <w:t xml:space="preserve">Teach participants the use of student groupings – homogeneous, heterogeneous, flexible, cooperative – in a planned way as an aid to instruction to meet identified, instructional objectives and student needs.  </w:t>
            </w:r>
          </w:p>
        </w:tc>
        <w:tc>
          <w:tcPr>
            <w:tcW w:w="1859" w:type="pct"/>
          </w:tcPr>
          <w:p w14:paraId="2DFA72F0" w14:textId="77777777" w:rsidR="009D126B" w:rsidRDefault="009D126B" w:rsidP="009D126B">
            <w:pPr>
              <w:autoSpaceDE w:val="0"/>
              <w:autoSpaceDN w:val="0"/>
              <w:adjustRightInd w:val="0"/>
              <w:jc w:val="both"/>
              <w:rPr>
                <w:b/>
              </w:rPr>
            </w:pPr>
          </w:p>
        </w:tc>
      </w:tr>
      <w:tr w:rsidR="009D126B" w14:paraId="259A0788" w14:textId="77777777" w:rsidTr="009D126B">
        <w:trPr>
          <w:cantSplit/>
        </w:trPr>
        <w:tc>
          <w:tcPr>
            <w:tcW w:w="3141" w:type="pct"/>
          </w:tcPr>
          <w:p w14:paraId="3640E6A5" w14:textId="6DC3F1B3" w:rsidR="009D126B" w:rsidRPr="009D126B" w:rsidRDefault="009D126B" w:rsidP="009D126B">
            <w:pPr>
              <w:numPr>
                <w:ilvl w:val="0"/>
                <w:numId w:val="7"/>
              </w:numPr>
              <w:autoSpaceDE w:val="0"/>
              <w:autoSpaceDN w:val="0"/>
              <w:adjustRightInd w:val="0"/>
              <w:rPr>
                <w:color w:val="000000"/>
              </w:rPr>
            </w:pPr>
            <w:r>
              <w:rPr>
                <w:color w:val="000000"/>
              </w:rPr>
              <w:t>Teach participants to provide appropriate verbal and nonverbal supports in their instruction.</w:t>
            </w:r>
          </w:p>
        </w:tc>
        <w:tc>
          <w:tcPr>
            <w:tcW w:w="1859" w:type="pct"/>
          </w:tcPr>
          <w:p w14:paraId="72DD0F1F" w14:textId="77777777" w:rsidR="009D126B" w:rsidRDefault="009D126B" w:rsidP="009D126B">
            <w:pPr>
              <w:autoSpaceDE w:val="0"/>
              <w:autoSpaceDN w:val="0"/>
              <w:adjustRightInd w:val="0"/>
              <w:jc w:val="both"/>
              <w:rPr>
                <w:b/>
              </w:rPr>
            </w:pPr>
          </w:p>
        </w:tc>
      </w:tr>
      <w:tr w:rsidR="009D126B" w14:paraId="6EA857A8" w14:textId="77777777" w:rsidTr="009D126B">
        <w:trPr>
          <w:cantSplit/>
        </w:trPr>
        <w:tc>
          <w:tcPr>
            <w:tcW w:w="3141" w:type="pct"/>
          </w:tcPr>
          <w:p w14:paraId="598401E3" w14:textId="5A362F35" w:rsidR="009D126B" w:rsidRPr="009D126B" w:rsidRDefault="009D126B" w:rsidP="009D126B">
            <w:pPr>
              <w:numPr>
                <w:ilvl w:val="0"/>
                <w:numId w:val="7"/>
              </w:numPr>
              <w:autoSpaceDE w:val="0"/>
              <w:autoSpaceDN w:val="0"/>
              <w:adjustRightInd w:val="0"/>
              <w:rPr>
                <w:color w:val="000000"/>
              </w:rPr>
            </w:pPr>
            <w:r>
              <w:rPr>
                <w:color w:val="000000"/>
              </w:rPr>
              <w:t>Teach participants how to increase student interaction with language and process content (e.g., question, discuss, review, rehearse, read, write about and/or represent instructional content, project, interactive journals) in a variety of formats (e.g., individually, in pairs, in groups, or in conferences with the teacher).</w:t>
            </w:r>
          </w:p>
        </w:tc>
        <w:tc>
          <w:tcPr>
            <w:tcW w:w="1859" w:type="pct"/>
          </w:tcPr>
          <w:p w14:paraId="384949FE" w14:textId="77777777" w:rsidR="009D126B" w:rsidRDefault="009D126B" w:rsidP="009D126B">
            <w:pPr>
              <w:autoSpaceDE w:val="0"/>
              <w:autoSpaceDN w:val="0"/>
              <w:adjustRightInd w:val="0"/>
              <w:jc w:val="both"/>
              <w:rPr>
                <w:b/>
              </w:rPr>
            </w:pPr>
          </w:p>
        </w:tc>
      </w:tr>
      <w:tr w:rsidR="009D126B" w14:paraId="3A4AC7C5" w14:textId="77777777" w:rsidTr="009D126B">
        <w:trPr>
          <w:cantSplit/>
        </w:trPr>
        <w:tc>
          <w:tcPr>
            <w:tcW w:w="3141" w:type="pct"/>
          </w:tcPr>
          <w:p w14:paraId="35A7BBF1" w14:textId="1A357F24" w:rsidR="009D126B" w:rsidRDefault="009D126B" w:rsidP="009D126B">
            <w:pPr>
              <w:autoSpaceDE w:val="0"/>
              <w:autoSpaceDN w:val="0"/>
              <w:adjustRightInd w:val="0"/>
              <w:ind w:left="360" w:hanging="360"/>
              <w:rPr>
                <w:color w:val="000000"/>
              </w:rPr>
            </w:pPr>
            <w:r>
              <w:rPr>
                <w:color w:val="000000"/>
              </w:rPr>
              <w:t xml:space="preserve">K.  Model and explain specific reading and writing strategies that assist English Learners in reading, comprehending and learning from content area materials, and in writing in English for a variety of audiences and purposes. </w:t>
            </w:r>
          </w:p>
        </w:tc>
        <w:tc>
          <w:tcPr>
            <w:tcW w:w="1859" w:type="pct"/>
          </w:tcPr>
          <w:p w14:paraId="7EE1DF91" w14:textId="77777777" w:rsidR="009D126B" w:rsidRDefault="009D126B" w:rsidP="009D126B">
            <w:pPr>
              <w:autoSpaceDE w:val="0"/>
              <w:autoSpaceDN w:val="0"/>
              <w:adjustRightInd w:val="0"/>
              <w:jc w:val="both"/>
              <w:rPr>
                <w:b/>
              </w:rPr>
            </w:pPr>
          </w:p>
        </w:tc>
      </w:tr>
      <w:tr w:rsidR="009D126B" w14:paraId="7C9A374C" w14:textId="77777777" w:rsidTr="009D126B">
        <w:trPr>
          <w:cantSplit/>
        </w:trPr>
        <w:tc>
          <w:tcPr>
            <w:tcW w:w="3141" w:type="pct"/>
          </w:tcPr>
          <w:p w14:paraId="34E338F9" w14:textId="3F256F8E" w:rsidR="009D126B" w:rsidRPr="009D126B" w:rsidRDefault="009D126B" w:rsidP="009D126B">
            <w:pPr>
              <w:numPr>
                <w:ilvl w:val="0"/>
                <w:numId w:val="19"/>
              </w:numPr>
              <w:autoSpaceDE w:val="0"/>
              <w:autoSpaceDN w:val="0"/>
              <w:adjustRightInd w:val="0"/>
              <w:jc w:val="both"/>
              <w:rPr>
                <w:color w:val="000000"/>
              </w:rPr>
            </w:pPr>
            <w:r>
              <w:rPr>
                <w:color w:val="000000"/>
              </w:rPr>
              <w:t>Provide opportunities for participating teachers to learn and practice effective use of instructional materials (e. g., supplemental materials, visual aids, technology and realia) based on student language levels and instructional language demand.</w:t>
            </w:r>
          </w:p>
        </w:tc>
        <w:tc>
          <w:tcPr>
            <w:tcW w:w="1859" w:type="pct"/>
          </w:tcPr>
          <w:p w14:paraId="0C0D7DA7" w14:textId="77777777" w:rsidR="009D126B" w:rsidRDefault="009D126B" w:rsidP="009D126B">
            <w:pPr>
              <w:autoSpaceDE w:val="0"/>
              <w:autoSpaceDN w:val="0"/>
              <w:adjustRightInd w:val="0"/>
              <w:jc w:val="both"/>
              <w:rPr>
                <w:b/>
              </w:rPr>
            </w:pPr>
          </w:p>
        </w:tc>
      </w:tr>
      <w:tr w:rsidR="009D126B" w14:paraId="32B79B0E" w14:textId="77777777" w:rsidTr="009D126B">
        <w:trPr>
          <w:cantSplit/>
        </w:trPr>
        <w:tc>
          <w:tcPr>
            <w:tcW w:w="3141" w:type="pct"/>
          </w:tcPr>
          <w:p w14:paraId="4864BA96" w14:textId="52ECC63C" w:rsidR="009D126B" w:rsidRDefault="009D126B" w:rsidP="009D126B">
            <w:pPr>
              <w:autoSpaceDE w:val="0"/>
              <w:autoSpaceDN w:val="0"/>
              <w:adjustRightInd w:val="0"/>
              <w:ind w:left="360" w:hanging="360"/>
              <w:rPr>
                <w:color w:val="000000"/>
              </w:rPr>
            </w:pPr>
            <w:r>
              <w:rPr>
                <w:color w:val="000000"/>
              </w:rPr>
              <w:t xml:space="preserve">M. </w:t>
            </w:r>
            <w:r w:rsidRPr="00D67799">
              <w:rPr>
                <w:color w:val="000000"/>
              </w:rPr>
              <w:t>Teach</w:t>
            </w:r>
            <w:r>
              <w:rPr>
                <w:color w:val="000000"/>
              </w:rPr>
              <w:t xml:space="preserve"> participants lesson design that incorporates language domains (listening, speaking, reading and writing), language proficiency levels and the content standards.</w:t>
            </w:r>
          </w:p>
        </w:tc>
        <w:tc>
          <w:tcPr>
            <w:tcW w:w="1859" w:type="pct"/>
          </w:tcPr>
          <w:p w14:paraId="5B56F9BC" w14:textId="77777777" w:rsidR="009D126B" w:rsidRDefault="009D126B" w:rsidP="009D126B">
            <w:pPr>
              <w:autoSpaceDE w:val="0"/>
              <w:autoSpaceDN w:val="0"/>
              <w:adjustRightInd w:val="0"/>
              <w:rPr>
                <w:b/>
              </w:rPr>
            </w:pPr>
          </w:p>
        </w:tc>
      </w:tr>
    </w:tbl>
    <w:p w14:paraId="699D4F01" w14:textId="72503975" w:rsidR="009D126B" w:rsidRDefault="009D126B">
      <w:r>
        <w:br w:type="page"/>
      </w:r>
    </w:p>
    <w:p w14:paraId="5D0F033A" w14:textId="7720752D" w:rsidR="00D24850" w:rsidRPr="009D126B" w:rsidRDefault="00D24850" w:rsidP="00283BB9">
      <w:pPr>
        <w:pStyle w:val="Heading2"/>
        <w:spacing w:after="240"/>
      </w:pPr>
      <w:r>
        <w:lastRenderedPageBreak/>
        <w:t>Guideline 5:</w:t>
      </w:r>
      <w:r w:rsidR="00283BB9">
        <w:t xml:space="preserve"> </w:t>
      </w:r>
      <w:r>
        <w:t>SDAIE Methods</w:t>
      </w:r>
      <w:r w:rsidR="00283BB9">
        <w:br/>
      </w:r>
      <w:r>
        <w:t>II. Participant Competence</w:t>
      </w:r>
    </w:p>
    <w:tbl>
      <w:tblP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3832"/>
      </w:tblGrid>
      <w:tr w:rsidR="00D24850" w14:paraId="50AB551A" w14:textId="77777777" w:rsidTr="00283BB9">
        <w:trPr>
          <w:cantSplit/>
          <w:tblHeader/>
        </w:trPr>
        <w:tc>
          <w:tcPr>
            <w:tcW w:w="3228" w:type="pct"/>
          </w:tcPr>
          <w:p w14:paraId="57FDE4AB" w14:textId="59BFF510" w:rsidR="00D24850" w:rsidRDefault="00D24850" w:rsidP="00D24850">
            <w:pPr>
              <w:autoSpaceDE w:val="0"/>
              <w:autoSpaceDN w:val="0"/>
              <w:adjustRightInd w:val="0"/>
              <w:ind w:left="360"/>
              <w:rPr>
                <w:color w:val="000000"/>
              </w:rPr>
            </w:pPr>
            <w:r>
              <w:rPr>
                <w:b/>
              </w:rPr>
              <w:t>Guideline Components</w:t>
            </w:r>
          </w:p>
        </w:tc>
        <w:tc>
          <w:tcPr>
            <w:tcW w:w="1772" w:type="pct"/>
          </w:tcPr>
          <w:p w14:paraId="423A4664" w14:textId="34294FA3" w:rsidR="00D24850" w:rsidRPr="00A31A95" w:rsidRDefault="00D24850" w:rsidP="00D24850">
            <w:pPr>
              <w:autoSpaceDE w:val="0"/>
              <w:autoSpaceDN w:val="0"/>
              <w:adjustRightInd w:val="0"/>
            </w:pPr>
            <w:r>
              <w:rPr>
                <w:b/>
              </w:rPr>
              <w:t>CTEL Course Number and Title</w:t>
            </w:r>
          </w:p>
        </w:tc>
      </w:tr>
      <w:tr w:rsidR="00D24850" w14:paraId="3692D585" w14:textId="77777777" w:rsidTr="00283BB9">
        <w:trPr>
          <w:cantSplit/>
        </w:trPr>
        <w:tc>
          <w:tcPr>
            <w:tcW w:w="3228" w:type="pct"/>
          </w:tcPr>
          <w:p w14:paraId="20314E77" w14:textId="77777777" w:rsidR="00D24850" w:rsidRDefault="00D24850" w:rsidP="00D24850">
            <w:pPr>
              <w:numPr>
                <w:ilvl w:val="0"/>
                <w:numId w:val="8"/>
              </w:numPr>
              <w:autoSpaceDE w:val="0"/>
              <w:autoSpaceDN w:val="0"/>
              <w:adjustRightInd w:val="0"/>
              <w:rPr>
                <w:color w:val="000000"/>
              </w:rPr>
            </w:pPr>
            <w:r>
              <w:rPr>
                <w:color w:val="000000"/>
              </w:rPr>
              <w:t>Participating teachers shall demonstrate an understanding of how to develop, implement and assess a program of planned, systematic instruction for English Learners in the content of their teaching assignment with the use of SDAIE strategies and appropriate classroom organization</w:t>
            </w:r>
            <w:r w:rsidRPr="00D67799">
              <w:rPr>
                <w:color w:val="000000"/>
              </w:rPr>
              <w:t>, including working with paraprofessionals and others for language support.</w:t>
            </w:r>
          </w:p>
          <w:p w14:paraId="1E9BFE8E" w14:textId="77777777" w:rsidR="00D24850" w:rsidRDefault="00D24850" w:rsidP="00D24850">
            <w:pPr>
              <w:autoSpaceDE w:val="0"/>
              <w:autoSpaceDN w:val="0"/>
              <w:adjustRightInd w:val="0"/>
              <w:ind w:left="360" w:hanging="360"/>
              <w:jc w:val="both"/>
              <w:rPr>
                <w:color w:val="000000"/>
              </w:rPr>
            </w:pPr>
          </w:p>
        </w:tc>
        <w:tc>
          <w:tcPr>
            <w:tcW w:w="1772" w:type="pct"/>
          </w:tcPr>
          <w:p w14:paraId="61814076" w14:textId="77777777" w:rsidR="00D24850" w:rsidRPr="00A31A95" w:rsidRDefault="00D24850" w:rsidP="00D24850">
            <w:pPr>
              <w:autoSpaceDE w:val="0"/>
              <w:autoSpaceDN w:val="0"/>
              <w:adjustRightInd w:val="0"/>
            </w:pPr>
          </w:p>
        </w:tc>
      </w:tr>
      <w:tr w:rsidR="00D24850" w14:paraId="4A3B2017" w14:textId="77777777" w:rsidTr="00283BB9">
        <w:trPr>
          <w:cantSplit/>
        </w:trPr>
        <w:tc>
          <w:tcPr>
            <w:tcW w:w="3228" w:type="pct"/>
          </w:tcPr>
          <w:p w14:paraId="3A162350" w14:textId="77777777" w:rsidR="00D24850" w:rsidRDefault="00D24850" w:rsidP="00D24850">
            <w:pPr>
              <w:numPr>
                <w:ilvl w:val="0"/>
                <w:numId w:val="8"/>
              </w:numPr>
              <w:autoSpaceDE w:val="0"/>
              <w:autoSpaceDN w:val="0"/>
              <w:adjustRightInd w:val="0"/>
              <w:rPr>
                <w:color w:val="000000"/>
              </w:rPr>
            </w:pPr>
            <w:r>
              <w:rPr>
                <w:color w:val="000000"/>
              </w:rPr>
              <w:t>Participating teachers shall demonstrate the ability to understand, select, modify and use appropriate instructional strategies in the content area(s) of their teaching assignment to scaffold English Learners ability to comprehend content.  These include strategies modeled and taught during the program such as:</w:t>
            </w:r>
          </w:p>
          <w:p w14:paraId="7E557F49" w14:textId="77777777" w:rsidR="00D24850" w:rsidRDefault="00D24850" w:rsidP="00D24850">
            <w:pPr>
              <w:numPr>
                <w:ilvl w:val="1"/>
                <w:numId w:val="8"/>
              </w:numPr>
              <w:autoSpaceDE w:val="0"/>
              <w:autoSpaceDN w:val="0"/>
              <w:adjustRightInd w:val="0"/>
              <w:rPr>
                <w:color w:val="000000"/>
              </w:rPr>
            </w:pPr>
            <w:r>
              <w:rPr>
                <w:color w:val="000000"/>
              </w:rPr>
              <w:t>Scaffolding</w:t>
            </w:r>
          </w:p>
          <w:p w14:paraId="310121CF" w14:textId="77777777" w:rsidR="00D24850" w:rsidRDefault="00D24850" w:rsidP="00D24850">
            <w:pPr>
              <w:numPr>
                <w:ilvl w:val="1"/>
                <w:numId w:val="8"/>
              </w:numPr>
              <w:autoSpaceDE w:val="0"/>
              <w:autoSpaceDN w:val="0"/>
              <w:adjustRightInd w:val="0"/>
              <w:rPr>
                <w:color w:val="000000"/>
              </w:rPr>
            </w:pPr>
            <w:r>
              <w:rPr>
                <w:color w:val="000000"/>
              </w:rPr>
              <w:t>Diagnostic teaching</w:t>
            </w:r>
          </w:p>
          <w:p w14:paraId="137AD9A5" w14:textId="77777777" w:rsidR="00D24850" w:rsidRDefault="00D24850" w:rsidP="00D24850">
            <w:pPr>
              <w:numPr>
                <w:ilvl w:val="1"/>
                <w:numId w:val="8"/>
              </w:numPr>
              <w:autoSpaceDE w:val="0"/>
              <w:autoSpaceDN w:val="0"/>
              <w:adjustRightInd w:val="0"/>
              <w:rPr>
                <w:color w:val="000000"/>
              </w:rPr>
            </w:pPr>
            <w:r>
              <w:rPr>
                <w:color w:val="000000"/>
              </w:rPr>
              <w:t>Study strategies</w:t>
            </w:r>
          </w:p>
          <w:p w14:paraId="6AFC4171" w14:textId="77777777" w:rsidR="00D24850" w:rsidRDefault="00D24850" w:rsidP="00D24850">
            <w:pPr>
              <w:numPr>
                <w:ilvl w:val="1"/>
                <w:numId w:val="8"/>
              </w:numPr>
              <w:autoSpaceDE w:val="0"/>
              <w:autoSpaceDN w:val="0"/>
              <w:adjustRightInd w:val="0"/>
              <w:rPr>
                <w:color w:val="000000"/>
              </w:rPr>
            </w:pPr>
            <w:r>
              <w:rPr>
                <w:color w:val="000000"/>
              </w:rPr>
              <w:t>Differentiating instruction</w:t>
            </w:r>
          </w:p>
          <w:p w14:paraId="6A677639" w14:textId="77777777" w:rsidR="00D24850" w:rsidRDefault="00D24850" w:rsidP="00D24850">
            <w:pPr>
              <w:numPr>
                <w:ilvl w:val="1"/>
                <w:numId w:val="8"/>
              </w:numPr>
              <w:autoSpaceDE w:val="0"/>
              <w:autoSpaceDN w:val="0"/>
              <w:adjustRightInd w:val="0"/>
              <w:rPr>
                <w:color w:val="000000"/>
              </w:rPr>
            </w:pPr>
            <w:r>
              <w:rPr>
                <w:color w:val="000000"/>
              </w:rPr>
              <w:t>Use of flexible groupings</w:t>
            </w:r>
          </w:p>
          <w:p w14:paraId="1E2F5162" w14:textId="734CD81E" w:rsidR="00D24850" w:rsidRDefault="00283BB9" w:rsidP="00D24850">
            <w:pPr>
              <w:numPr>
                <w:ilvl w:val="1"/>
                <w:numId w:val="8"/>
              </w:numPr>
              <w:autoSpaceDE w:val="0"/>
              <w:autoSpaceDN w:val="0"/>
              <w:adjustRightInd w:val="0"/>
              <w:rPr>
                <w:color w:val="000000"/>
              </w:rPr>
            </w:pPr>
            <w:r>
              <w:rPr>
                <w:color w:val="000000"/>
              </w:rPr>
              <w:t>Specifically,</w:t>
            </w:r>
            <w:r w:rsidR="00D24850">
              <w:rPr>
                <w:color w:val="000000"/>
              </w:rPr>
              <w:t xml:space="preserve"> tailored use of verbal and non-verbal supports</w:t>
            </w:r>
          </w:p>
          <w:p w14:paraId="1851ECED" w14:textId="77777777" w:rsidR="00D24850" w:rsidRDefault="00D24850" w:rsidP="00D24850">
            <w:pPr>
              <w:numPr>
                <w:ilvl w:val="1"/>
                <w:numId w:val="8"/>
              </w:numPr>
              <w:autoSpaceDE w:val="0"/>
              <w:autoSpaceDN w:val="0"/>
              <w:adjustRightInd w:val="0"/>
              <w:rPr>
                <w:color w:val="000000"/>
              </w:rPr>
            </w:pPr>
            <w:r>
              <w:rPr>
                <w:color w:val="000000"/>
              </w:rPr>
              <w:t>Providing a variety of learning opportunities for students to interact with language and to process content</w:t>
            </w:r>
          </w:p>
          <w:p w14:paraId="19FB0F26" w14:textId="77777777" w:rsidR="00D24850" w:rsidRDefault="00D24850" w:rsidP="00D24850">
            <w:pPr>
              <w:numPr>
                <w:ilvl w:val="1"/>
                <w:numId w:val="8"/>
              </w:numPr>
              <w:autoSpaceDE w:val="0"/>
              <w:autoSpaceDN w:val="0"/>
              <w:adjustRightInd w:val="0"/>
              <w:rPr>
                <w:color w:val="000000"/>
              </w:rPr>
            </w:pPr>
            <w:r>
              <w:rPr>
                <w:color w:val="000000"/>
              </w:rPr>
              <w:t>Using a variety of means to check for student comprehension and mastery of concepts being taught.</w:t>
            </w:r>
          </w:p>
          <w:p w14:paraId="4F80F07B" w14:textId="77777777" w:rsidR="00D24850" w:rsidRDefault="00D24850" w:rsidP="00D24850">
            <w:pPr>
              <w:autoSpaceDE w:val="0"/>
              <w:autoSpaceDN w:val="0"/>
              <w:adjustRightInd w:val="0"/>
              <w:ind w:left="360" w:hanging="360"/>
              <w:jc w:val="both"/>
              <w:rPr>
                <w:color w:val="000000"/>
              </w:rPr>
            </w:pPr>
          </w:p>
        </w:tc>
        <w:tc>
          <w:tcPr>
            <w:tcW w:w="1772" w:type="pct"/>
          </w:tcPr>
          <w:p w14:paraId="20968A0F" w14:textId="77777777" w:rsidR="00D24850" w:rsidRPr="00A31A95" w:rsidRDefault="00D24850" w:rsidP="00D24850">
            <w:pPr>
              <w:autoSpaceDE w:val="0"/>
              <w:autoSpaceDN w:val="0"/>
              <w:adjustRightInd w:val="0"/>
            </w:pPr>
          </w:p>
        </w:tc>
      </w:tr>
      <w:tr w:rsidR="00D24850" w14:paraId="27B9192B" w14:textId="77777777" w:rsidTr="00283BB9">
        <w:trPr>
          <w:cantSplit/>
        </w:trPr>
        <w:tc>
          <w:tcPr>
            <w:tcW w:w="3228" w:type="pct"/>
          </w:tcPr>
          <w:p w14:paraId="594AE680" w14:textId="77777777" w:rsidR="00D24850" w:rsidRDefault="00D24850" w:rsidP="00D24850">
            <w:pPr>
              <w:numPr>
                <w:ilvl w:val="0"/>
                <w:numId w:val="8"/>
              </w:numPr>
              <w:autoSpaceDE w:val="0"/>
              <w:autoSpaceDN w:val="0"/>
              <w:adjustRightInd w:val="0"/>
              <w:rPr>
                <w:color w:val="000000"/>
              </w:rPr>
            </w:pPr>
            <w:r>
              <w:rPr>
                <w:color w:val="000000"/>
              </w:rPr>
              <w:t>Participating teachers shall demonstrate the ability to understand, select, modify and use a variety of literacy and instructional strategies that scaffold English Learners ability to use oral discussion, reading and writing for learning from a variety of materials.</w:t>
            </w:r>
          </w:p>
          <w:p w14:paraId="297995AB" w14:textId="77777777" w:rsidR="00D24850" w:rsidRDefault="00D24850" w:rsidP="00D24850">
            <w:pPr>
              <w:autoSpaceDE w:val="0"/>
              <w:autoSpaceDN w:val="0"/>
              <w:adjustRightInd w:val="0"/>
              <w:jc w:val="both"/>
              <w:rPr>
                <w:color w:val="000000"/>
              </w:rPr>
            </w:pPr>
          </w:p>
        </w:tc>
        <w:tc>
          <w:tcPr>
            <w:tcW w:w="1772" w:type="pct"/>
          </w:tcPr>
          <w:p w14:paraId="386F7A71" w14:textId="77777777" w:rsidR="00D24850" w:rsidRDefault="00D24850" w:rsidP="00D24850">
            <w:pPr>
              <w:autoSpaceDE w:val="0"/>
              <w:autoSpaceDN w:val="0"/>
              <w:adjustRightInd w:val="0"/>
              <w:jc w:val="both"/>
              <w:rPr>
                <w:b/>
              </w:rPr>
            </w:pPr>
          </w:p>
        </w:tc>
      </w:tr>
      <w:tr w:rsidR="00D24850" w14:paraId="1E51BC5B" w14:textId="77777777" w:rsidTr="00283BB9">
        <w:trPr>
          <w:cantSplit/>
        </w:trPr>
        <w:tc>
          <w:tcPr>
            <w:tcW w:w="3228" w:type="pct"/>
          </w:tcPr>
          <w:p w14:paraId="0307517A" w14:textId="77777777" w:rsidR="00D24850" w:rsidRDefault="00D24850" w:rsidP="00D24850">
            <w:pPr>
              <w:numPr>
                <w:ilvl w:val="0"/>
                <w:numId w:val="8"/>
              </w:numPr>
              <w:autoSpaceDE w:val="0"/>
              <w:autoSpaceDN w:val="0"/>
              <w:adjustRightInd w:val="0"/>
              <w:rPr>
                <w:color w:val="000000"/>
              </w:rPr>
            </w:pPr>
            <w:r>
              <w:rPr>
                <w:color w:val="000000"/>
              </w:rPr>
              <w:t xml:space="preserve">Participating </w:t>
            </w:r>
            <w:r w:rsidRPr="00754CF6">
              <w:rPr>
                <w:color w:val="000000"/>
              </w:rPr>
              <w:t xml:space="preserve">teachers will </w:t>
            </w:r>
            <w:r w:rsidRPr="00D67799">
              <w:rPr>
                <w:color w:val="000000"/>
              </w:rPr>
              <w:t>demonstrate their ability</w:t>
            </w:r>
            <w:r>
              <w:rPr>
                <w:color w:val="000000"/>
              </w:rPr>
              <w:t xml:space="preserve"> to design and implement lessons that incorporate the four domains of language (listening, speaking, reading and writing), student language proficiency levels and content standards.</w:t>
            </w:r>
          </w:p>
          <w:p w14:paraId="4ACD7A67" w14:textId="77777777" w:rsidR="00D24850" w:rsidRDefault="00D24850" w:rsidP="00D24850">
            <w:pPr>
              <w:autoSpaceDE w:val="0"/>
              <w:autoSpaceDN w:val="0"/>
              <w:adjustRightInd w:val="0"/>
              <w:jc w:val="both"/>
              <w:rPr>
                <w:color w:val="000000"/>
              </w:rPr>
            </w:pPr>
          </w:p>
        </w:tc>
        <w:tc>
          <w:tcPr>
            <w:tcW w:w="1772" w:type="pct"/>
          </w:tcPr>
          <w:p w14:paraId="47DDAD64" w14:textId="77777777" w:rsidR="00D24850" w:rsidRPr="00B22729" w:rsidRDefault="00D24850" w:rsidP="00D24850">
            <w:pPr>
              <w:autoSpaceDE w:val="0"/>
              <w:autoSpaceDN w:val="0"/>
              <w:adjustRightInd w:val="0"/>
              <w:rPr>
                <w:b/>
                <w:sz w:val="22"/>
                <w:szCs w:val="22"/>
              </w:rPr>
            </w:pPr>
          </w:p>
        </w:tc>
      </w:tr>
    </w:tbl>
    <w:p w14:paraId="67876320" w14:textId="77777777" w:rsidR="00754CF6" w:rsidRPr="00D478F6" w:rsidRDefault="00754CF6">
      <w:pPr>
        <w:rPr>
          <w:rFonts w:asciiTheme="minorHAnsi" w:hAnsiTheme="minorHAnsi" w:cstheme="minorHAnsi"/>
          <w:sz w:val="22"/>
          <w:szCs w:val="22"/>
        </w:rPr>
      </w:pPr>
    </w:p>
    <w:sectPr w:rsidR="00754CF6" w:rsidRPr="00D478F6" w:rsidSect="00D67799">
      <w:footerReference w:type="even" r:id="rId7"/>
      <w:footerReference w:type="default" r:id="rId8"/>
      <w:pgSz w:w="12240" w:h="15840"/>
      <w:pgMar w:top="1296" w:right="1440"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6AB16" w14:textId="77777777" w:rsidR="008C59E5" w:rsidRDefault="008C59E5">
      <w:r>
        <w:separator/>
      </w:r>
    </w:p>
  </w:endnote>
  <w:endnote w:type="continuationSeparator" w:id="0">
    <w:p w14:paraId="1C2EDBBB" w14:textId="77777777" w:rsidR="008C59E5" w:rsidRDefault="008C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D99EF" w14:textId="77777777" w:rsidR="008556F3" w:rsidRDefault="008556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5746C9" w14:textId="77777777" w:rsidR="008556F3" w:rsidRDefault="008556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316B5" w14:textId="77777777" w:rsidR="008556F3" w:rsidRDefault="008556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6ED1">
      <w:rPr>
        <w:rStyle w:val="PageNumber"/>
        <w:noProof/>
      </w:rPr>
      <w:t>6</w:t>
    </w:r>
    <w:r>
      <w:rPr>
        <w:rStyle w:val="PageNumber"/>
      </w:rPr>
      <w:fldChar w:fldCharType="end"/>
    </w:r>
  </w:p>
  <w:p w14:paraId="179AE0F8" w14:textId="77777777" w:rsidR="008556F3" w:rsidRDefault="008556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A2DED" w14:textId="77777777" w:rsidR="008C59E5" w:rsidRDefault="008C59E5">
      <w:r>
        <w:separator/>
      </w:r>
    </w:p>
  </w:footnote>
  <w:footnote w:type="continuationSeparator" w:id="0">
    <w:p w14:paraId="4A74CE3C" w14:textId="77777777" w:rsidR="008C59E5" w:rsidRDefault="008C5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B7AEA"/>
    <w:multiLevelType w:val="multilevel"/>
    <w:tmpl w:val="19482ADC"/>
    <w:lvl w:ilvl="0">
      <w:start w:val="12"/>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16A43CC"/>
    <w:multiLevelType w:val="hybridMultilevel"/>
    <w:tmpl w:val="8CA2880C"/>
    <w:lvl w:ilvl="0" w:tplc="F618A140">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852375F"/>
    <w:multiLevelType w:val="hybridMultilevel"/>
    <w:tmpl w:val="318A03F8"/>
    <w:lvl w:ilvl="0" w:tplc="0409000F">
      <w:start w:val="1"/>
      <w:numFmt w:val="decimal"/>
      <w:lvlText w:val="%1."/>
      <w:lvlJc w:val="left"/>
      <w:pPr>
        <w:tabs>
          <w:tab w:val="num" w:pos="720"/>
        </w:tabs>
        <w:ind w:left="720" w:hanging="360"/>
      </w:pPr>
      <w:rPr>
        <w:rFonts w:hint="default"/>
      </w:rPr>
    </w:lvl>
    <w:lvl w:ilvl="1" w:tplc="91B0845C">
      <w:start w:val="1"/>
      <w:numFmt w:val="upperRoman"/>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17699F"/>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7DB2CBC"/>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8D94057"/>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54315C2"/>
    <w:multiLevelType w:val="multilevel"/>
    <w:tmpl w:val="4E84B0D6"/>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A98132A"/>
    <w:multiLevelType w:val="hybridMultilevel"/>
    <w:tmpl w:val="CA584266"/>
    <w:lvl w:ilvl="0" w:tplc="B8F6596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023CA0"/>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2D351FE"/>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7C35668"/>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6E5596"/>
    <w:multiLevelType w:val="hybridMultilevel"/>
    <w:tmpl w:val="DB726688"/>
    <w:lvl w:ilvl="0" w:tplc="823CDF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022858"/>
    <w:multiLevelType w:val="hybridMultilevel"/>
    <w:tmpl w:val="4DBC94BA"/>
    <w:lvl w:ilvl="0" w:tplc="2D7C4A6A">
      <w:start w:val="1"/>
      <w:numFmt w:val="upperRoman"/>
      <w:lvlText w:val="%1."/>
      <w:lvlJc w:val="left"/>
      <w:pPr>
        <w:tabs>
          <w:tab w:val="num" w:pos="1800"/>
        </w:tabs>
        <w:ind w:left="1800" w:hanging="72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2E81F56"/>
    <w:multiLevelType w:val="hybridMultilevel"/>
    <w:tmpl w:val="8708D0C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A260B3"/>
    <w:multiLevelType w:val="hybridMultilevel"/>
    <w:tmpl w:val="7FCE87B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B222F4"/>
    <w:multiLevelType w:val="multilevel"/>
    <w:tmpl w:val="CDF6E982"/>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7242848"/>
    <w:multiLevelType w:val="hybridMultilevel"/>
    <w:tmpl w:val="692E7A78"/>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D133639"/>
    <w:multiLevelType w:val="hybridMultilevel"/>
    <w:tmpl w:val="DED87E4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11A4395"/>
    <w:multiLevelType w:val="multilevel"/>
    <w:tmpl w:val="CDF6E982"/>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num>
  <w:num w:numId="13">
    <w:abstractNumId w:val="7"/>
  </w:num>
  <w:num w:numId="14">
    <w:abstractNumId w:val="2"/>
  </w:num>
  <w:num w:numId="15">
    <w:abstractNumId w:val="12"/>
  </w:num>
  <w:num w:numId="16">
    <w:abstractNumId w:val="1"/>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A2"/>
    <w:rsid w:val="00006ED1"/>
    <w:rsid w:val="000763D3"/>
    <w:rsid w:val="0011240C"/>
    <w:rsid w:val="00116B8C"/>
    <w:rsid w:val="002216A6"/>
    <w:rsid w:val="00282317"/>
    <w:rsid w:val="00283BB9"/>
    <w:rsid w:val="002925E7"/>
    <w:rsid w:val="002C5740"/>
    <w:rsid w:val="002E611B"/>
    <w:rsid w:val="0031501F"/>
    <w:rsid w:val="003228AA"/>
    <w:rsid w:val="00421E42"/>
    <w:rsid w:val="00460CF5"/>
    <w:rsid w:val="004D04D9"/>
    <w:rsid w:val="006C2106"/>
    <w:rsid w:val="007451DE"/>
    <w:rsid w:val="00754CF6"/>
    <w:rsid w:val="007C1365"/>
    <w:rsid w:val="007D215A"/>
    <w:rsid w:val="008556F3"/>
    <w:rsid w:val="00870C6D"/>
    <w:rsid w:val="008B56D0"/>
    <w:rsid w:val="008C59E5"/>
    <w:rsid w:val="008E0A29"/>
    <w:rsid w:val="00974DE6"/>
    <w:rsid w:val="009765DB"/>
    <w:rsid w:val="009D126B"/>
    <w:rsid w:val="00A3115B"/>
    <w:rsid w:val="00A31A95"/>
    <w:rsid w:val="00A40589"/>
    <w:rsid w:val="00A4564C"/>
    <w:rsid w:val="00A65DA2"/>
    <w:rsid w:val="00AE2E19"/>
    <w:rsid w:val="00B22729"/>
    <w:rsid w:val="00BA164F"/>
    <w:rsid w:val="00BE005B"/>
    <w:rsid w:val="00D24850"/>
    <w:rsid w:val="00D478F6"/>
    <w:rsid w:val="00D603BA"/>
    <w:rsid w:val="00D67799"/>
    <w:rsid w:val="00D9136B"/>
    <w:rsid w:val="00DB15E7"/>
    <w:rsid w:val="00DD15B7"/>
    <w:rsid w:val="00E4246E"/>
    <w:rsid w:val="00E44A1C"/>
    <w:rsid w:val="00E52875"/>
    <w:rsid w:val="00E87FB4"/>
    <w:rsid w:val="00EB55E9"/>
    <w:rsid w:val="00EB61AE"/>
    <w:rsid w:val="00ED6148"/>
    <w:rsid w:val="00FD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B8885A"/>
  <w15:chartTrackingRefBased/>
  <w15:docId w15:val="{5BBA5AA8-CA41-4D53-93E1-8ACB1012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B15E7"/>
    <w:pPr>
      <w:jc w:val="center"/>
      <w:outlineLvl w:val="0"/>
    </w:pPr>
    <w:rPr>
      <w:sz w:val="32"/>
      <w:szCs w:val="32"/>
    </w:rPr>
  </w:style>
  <w:style w:type="paragraph" w:styleId="Heading2">
    <w:name w:val="heading 2"/>
    <w:basedOn w:val="Normal"/>
    <w:next w:val="Normal"/>
    <w:qFormat/>
    <w:rsid w:val="00D24850"/>
    <w:pPr>
      <w:autoSpaceDE w:val="0"/>
      <w:autoSpaceDN w:val="0"/>
      <w:adjustRightInd w:val="0"/>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jc w:val="both"/>
    </w:pPr>
    <w:rPr>
      <w:b/>
      <w:strik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9D126B"/>
    <w:pPr>
      <w:ind w:left="720"/>
      <w:contextualSpacing/>
    </w:pPr>
  </w:style>
  <w:style w:type="paragraph" w:styleId="BalloonText">
    <w:name w:val="Balloon Text"/>
    <w:basedOn w:val="Normal"/>
    <w:link w:val="BalloonTextChar"/>
    <w:rsid w:val="00283BB9"/>
    <w:rPr>
      <w:rFonts w:ascii="Segoe UI" w:hAnsi="Segoe UI" w:cs="Segoe UI"/>
      <w:sz w:val="18"/>
      <w:szCs w:val="18"/>
    </w:rPr>
  </w:style>
  <w:style w:type="character" w:customStyle="1" w:styleId="BalloonTextChar">
    <w:name w:val="Balloon Text Char"/>
    <w:basedOn w:val="DefaultParagraphFont"/>
    <w:link w:val="BalloonText"/>
    <w:rsid w:val="00283BB9"/>
    <w:rPr>
      <w:rFonts w:ascii="Segoe UI" w:hAnsi="Segoe UI" w:cs="Segoe UI"/>
      <w:sz w:val="18"/>
      <w:szCs w:val="18"/>
    </w:rPr>
  </w:style>
  <w:style w:type="paragraph" w:styleId="Header">
    <w:name w:val="header"/>
    <w:basedOn w:val="Normal"/>
    <w:link w:val="HeaderChar"/>
    <w:rsid w:val="00283BB9"/>
    <w:pPr>
      <w:tabs>
        <w:tab w:val="center" w:pos="4680"/>
        <w:tab w:val="right" w:pos="9360"/>
      </w:tabs>
    </w:pPr>
  </w:style>
  <w:style w:type="character" w:customStyle="1" w:styleId="HeaderChar">
    <w:name w:val="Header Char"/>
    <w:basedOn w:val="DefaultParagraphFont"/>
    <w:link w:val="Header"/>
    <w:rsid w:val="00283B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SB 1292 Guidelines Alignment Matrix</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1292 Guidelines Alignment Matrix</dc:title>
  <dc:subject/>
  <dc:creator>JBirdsell</dc:creator>
  <cp:keywords/>
  <dc:description/>
  <cp:lastModifiedBy>Sayas, Purity Rose</cp:lastModifiedBy>
  <cp:revision>6</cp:revision>
  <cp:lastPrinted>2009-10-28T21:19:00Z</cp:lastPrinted>
  <dcterms:created xsi:type="dcterms:W3CDTF">2020-11-18T22:27:00Z</dcterms:created>
  <dcterms:modified xsi:type="dcterms:W3CDTF">2020-12-22T22:06:00Z</dcterms:modified>
</cp:coreProperties>
</file>