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3B9F7" w14:textId="16BFF7DA" w:rsidR="00DD287B" w:rsidRPr="00F96D57" w:rsidRDefault="00DD287B" w:rsidP="008A1B8F">
      <w:pPr>
        <w:pStyle w:val="Heading1"/>
        <w:rPr>
          <w:color w:val="auto"/>
        </w:rPr>
      </w:pPr>
      <w:r w:rsidRPr="00F96D57">
        <w:rPr>
          <w:color w:val="auto"/>
        </w:rPr>
        <w:t>Segmented Teacher Librarian Services Credential and Special Class Authorization Narrative Template</w:t>
      </w:r>
    </w:p>
    <w:p w14:paraId="01D4D687" w14:textId="2CAF948C" w:rsidR="00DD287B" w:rsidRPr="00F96D57" w:rsidRDefault="00DD287B" w:rsidP="00AB5F98">
      <w:pPr>
        <w:pStyle w:val="Header"/>
        <w:spacing w:before="720" w:after="4200"/>
        <w:jc w:val="center"/>
        <w:rPr>
          <w:color w:val="auto"/>
          <w:sz w:val="28"/>
          <w:szCs w:val="28"/>
        </w:rPr>
      </w:pPr>
      <w:r w:rsidRPr="00F96D57">
        <w:rPr>
          <w:color w:val="auto"/>
          <w:sz w:val="28"/>
          <w:szCs w:val="28"/>
        </w:rPr>
        <w:t xml:space="preserve">For use by an institution in submitting an initial institutional approval or a response to the Commission’s Program Standards. The template is </w:t>
      </w:r>
      <w:r w:rsidR="00F96D57" w:rsidRPr="00F96D57">
        <w:rPr>
          <w:color w:val="auto"/>
          <w:sz w:val="28"/>
          <w:szCs w:val="28"/>
        </w:rPr>
        <w:t>optional but</w:t>
      </w:r>
      <w:r w:rsidRPr="00F96D57">
        <w:rPr>
          <w:color w:val="auto"/>
          <w:sz w:val="28"/>
          <w:szCs w:val="28"/>
        </w:rPr>
        <w:t xml:space="preserve"> is a way to organize the narrative addressing the standards AND provide links to the supporting documentation.</w:t>
      </w:r>
    </w:p>
    <w:p w14:paraId="6AFF2796" w14:textId="35B1F623" w:rsidR="00AB5F98" w:rsidRPr="00D406BB" w:rsidRDefault="00AB5F98" w:rsidP="00AB5F98">
      <w:pPr>
        <w:pStyle w:val="Heading2"/>
        <w:jc w:val="center"/>
        <w:rPr>
          <w:rFonts w:ascii="Times New Roman" w:hAnsi="Times New Roman" w:cs="Times New Roman"/>
          <w:b/>
          <w:bCs/>
          <w:color w:val="auto"/>
          <w:sz w:val="28"/>
          <w:szCs w:val="28"/>
        </w:rPr>
      </w:pPr>
      <w:r w:rsidRPr="00D406BB">
        <w:rPr>
          <w:rFonts w:ascii="Times New Roman" w:hAnsi="Times New Roman" w:cs="Times New Roman"/>
          <w:b/>
          <w:bCs/>
          <w:color w:val="auto"/>
          <w:sz w:val="28"/>
          <w:szCs w:val="28"/>
        </w:rPr>
        <w:lastRenderedPageBreak/>
        <w:t>Category A: Program Design</w:t>
      </w:r>
    </w:p>
    <w:p w14:paraId="72847C35" w14:textId="7F3D5371" w:rsidR="00AB5F98" w:rsidRPr="00D406BB" w:rsidRDefault="00AB5F98" w:rsidP="00D406BB">
      <w:pPr>
        <w:pStyle w:val="Heading3"/>
        <w:spacing w:before="0" w:after="120"/>
        <w:jc w:val="center"/>
        <w:rPr>
          <w:rFonts w:ascii="Times New Roman" w:hAnsi="Times New Roman" w:cs="Times New Roman"/>
          <w:b/>
          <w:bCs/>
          <w:color w:val="auto"/>
        </w:rPr>
      </w:pPr>
      <w:r w:rsidRPr="00D406BB">
        <w:rPr>
          <w:rFonts w:ascii="Times New Roman" w:hAnsi="Times New Roman" w:cs="Times New Roman"/>
          <w:b/>
          <w:bCs/>
          <w:color w:val="auto"/>
        </w:rPr>
        <w:t>Standard 1: Program Design, Rationale and Coordination</w:t>
      </w:r>
    </w:p>
    <w:tbl>
      <w:tblPr>
        <w:tblStyle w:val="TableGrid"/>
        <w:tblW w:w="0" w:type="auto"/>
        <w:tblLook w:val="04A0" w:firstRow="1" w:lastRow="0" w:firstColumn="1" w:lastColumn="0" w:noHBand="0" w:noVBand="1"/>
      </w:tblPr>
      <w:tblGrid>
        <w:gridCol w:w="4495"/>
        <w:gridCol w:w="8455"/>
      </w:tblGrid>
      <w:tr w:rsidR="00AB5F98" w14:paraId="24281A6E" w14:textId="77777777" w:rsidTr="00AB5F98">
        <w:trPr>
          <w:cantSplit/>
          <w:tblHeader/>
        </w:trPr>
        <w:tc>
          <w:tcPr>
            <w:tcW w:w="4495" w:type="dxa"/>
            <w:vAlign w:val="center"/>
          </w:tcPr>
          <w:p w14:paraId="34DB07C3" w14:textId="263C950E" w:rsidR="00AB5F98" w:rsidRDefault="00AB5F98" w:rsidP="007D7601">
            <w:pPr>
              <w:jc w:val="center"/>
              <w:rPr>
                <w:b/>
                <w:bCs/>
              </w:rPr>
            </w:pPr>
            <w:r w:rsidRPr="00BB39FB">
              <w:rPr>
                <w:b/>
              </w:rPr>
              <w:t>Standard Segment</w:t>
            </w:r>
          </w:p>
        </w:tc>
        <w:tc>
          <w:tcPr>
            <w:tcW w:w="8455" w:type="dxa"/>
            <w:vAlign w:val="center"/>
          </w:tcPr>
          <w:p w14:paraId="0D50D3FF" w14:textId="1C52D1F3" w:rsidR="00AB5F98" w:rsidRPr="00BB39FB" w:rsidRDefault="00AB5F98" w:rsidP="007D7601">
            <w:pPr>
              <w:jc w:val="center"/>
              <w:rPr>
                <w:b/>
              </w:rPr>
            </w:pPr>
            <w:r w:rsidRPr="00BB39FB">
              <w:rPr>
                <w:b/>
              </w:rPr>
              <w:t>Narrative Describing How the Institution Meets the Standard</w:t>
            </w:r>
          </w:p>
          <w:p w14:paraId="51C59669" w14:textId="70E18BB7" w:rsidR="00AB5F98" w:rsidRDefault="00AB5F98" w:rsidP="007D7601">
            <w:pPr>
              <w:jc w:val="center"/>
              <w:rPr>
                <w:b/>
                <w:bCs/>
              </w:rPr>
            </w:pPr>
            <w:r w:rsidRPr="00BB39FB">
              <w:t>hyperlink to supporting documentation</w:t>
            </w:r>
          </w:p>
        </w:tc>
      </w:tr>
      <w:tr w:rsidR="00AB5F98" w14:paraId="3EE970F6" w14:textId="77777777" w:rsidTr="00AB5F98">
        <w:tc>
          <w:tcPr>
            <w:tcW w:w="4495" w:type="dxa"/>
          </w:tcPr>
          <w:p w14:paraId="318AB119" w14:textId="735F4F21" w:rsidR="00AB5F98" w:rsidRPr="00AB5F98" w:rsidRDefault="00AB5F98" w:rsidP="007D7601">
            <w:pPr>
              <w:pStyle w:val="PlainText"/>
            </w:pPr>
            <w:r w:rsidRPr="00BB39FB">
              <w:rPr>
                <w:rFonts w:ascii="Times New Roman" w:hAnsi="Times New Roman"/>
                <w:b/>
                <w:sz w:val="24"/>
                <w:szCs w:val="24"/>
              </w:rPr>
              <w:t>1A.</w:t>
            </w:r>
            <w:r w:rsidRPr="00BB39FB">
              <w:rPr>
                <w:rFonts w:ascii="Times New Roman" w:hAnsi="Times New Roman"/>
                <w:sz w:val="24"/>
                <w:szCs w:val="24"/>
              </w:rPr>
              <w:t xml:space="preserve"> The sponsoring institution demonstrates a commitment to candidate preparation by providing full support for the program. The program has a qualified leadership team with appropriate expertise in school librarianship.</w:t>
            </w:r>
          </w:p>
        </w:tc>
        <w:tc>
          <w:tcPr>
            <w:tcW w:w="8455" w:type="dxa"/>
          </w:tcPr>
          <w:p w14:paraId="30B8DC55" w14:textId="77777777" w:rsidR="00AB5F98" w:rsidRDefault="00AB5F98" w:rsidP="007D7601">
            <w:pPr>
              <w:rPr>
                <w:b/>
                <w:bCs/>
              </w:rPr>
            </w:pPr>
          </w:p>
        </w:tc>
      </w:tr>
      <w:tr w:rsidR="00AB5F98" w14:paraId="4EDE4923" w14:textId="77777777" w:rsidTr="00AB5F98">
        <w:tc>
          <w:tcPr>
            <w:tcW w:w="4495" w:type="dxa"/>
          </w:tcPr>
          <w:p w14:paraId="1C9F5D2B" w14:textId="7C480E73" w:rsidR="00AB5F98" w:rsidRPr="00AB5F98" w:rsidRDefault="00AB5F98" w:rsidP="007D7601">
            <w:pPr>
              <w:pStyle w:val="PlainText"/>
            </w:pPr>
            <w:r w:rsidRPr="00BB39FB">
              <w:rPr>
                <w:rFonts w:ascii="Times New Roman" w:hAnsi="Times New Roman"/>
                <w:b/>
                <w:sz w:val="24"/>
                <w:szCs w:val="24"/>
              </w:rPr>
              <w:t>1B.</w:t>
            </w:r>
            <w:r w:rsidRPr="00BB39FB">
              <w:rPr>
                <w:rFonts w:ascii="Times New Roman" w:hAnsi="Times New Roman"/>
                <w:sz w:val="24"/>
                <w:szCs w:val="24"/>
              </w:rPr>
              <w:t xml:space="preserve"> The preparation program and any prerequisites include a purposeful, interrelated, and developmentally designed sequence of coursework and field experiences. The design of the program follows an explicit statement of program philosophy and purpose based on a sound rationale informed by theory, research, and practice. Coursework and fieldwork address the interplay of school library content, effective </w:t>
            </w:r>
            <w:r w:rsidRPr="00BB39FB">
              <w:rPr>
                <w:rFonts w:ascii="Times New Roman" w:hAnsi="Times New Roman"/>
                <w:sz w:val="24"/>
                <w:szCs w:val="24"/>
              </w:rPr>
              <w:t>instruction,</w:t>
            </w:r>
            <w:r w:rsidRPr="00BB39FB">
              <w:rPr>
                <w:rFonts w:ascii="Times New Roman" w:hAnsi="Times New Roman"/>
                <w:sz w:val="24"/>
                <w:szCs w:val="24"/>
              </w:rPr>
              <w:t xml:space="preserve"> and best practices in successful school librarianship.</w:t>
            </w:r>
          </w:p>
        </w:tc>
        <w:tc>
          <w:tcPr>
            <w:tcW w:w="8455" w:type="dxa"/>
          </w:tcPr>
          <w:p w14:paraId="28C5FF42" w14:textId="77777777" w:rsidR="00AB5F98" w:rsidRDefault="00AB5F98" w:rsidP="007D7601">
            <w:pPr>
              <w:rPr>
                <w:b/>
                <w:bCs/>
              </w:rPr>
            </w:pPr>
          </w:p>
        </w:tc>
      </w:tr>
      <w:tr w:rsidR="00AB5F98" w14:paraId="2238679C" w14:textId="77777777" w:rsidTr="00AB5F98">
        <w:tc>
          <w:tcPr>
            <w:tcW w:w="4495" w:type="dxa"/>
          </w:tcPr>
          <w:p w14:paraId="40A8AC77" w14:textId="66B73C1B" w:rsidR="00AB5F98" w:rsidRPr="00AB5F98" w:rsidRDefault="00AB5F98" w:rsidP="007D7601">
            <w:pPr>
              <w:pStyle w:val="PlainText"/>
            </w:pPr>
            <w:r w:rsidRPr="00BB39FB">
              <w:rPr>
                <w:rFonts w:ascii="Times New Roman" w:hAnsi="Times New Roman"/>
                <w:b/>
                <w:sz w:val="24"/>
                <w:szCs w:val="24"/>
              </w:rPr>
              <w:t>1C.</w:t>
            </w:r>
            <w:r w:rsidRPr="00BB39FB">
              <w:rPr>
                <w:rFonts w:ascii="Times New Roman" w:hAnsi="Times New Roman"/>
                <w:sz w:val="24"/>
                <w:szCs w:val="24"/>
              </w:rPr>
              <w:t xml:space="preserve"> The program addresses the processes of admission, advising, program evaluation and improvement, as well as coordination and communication with PreK-12 schools for field experiences.</w:t>
            </w:r>
          </w:p>
        </w:tc>
        <w:tc>
          <w:tcPr>
            <w:tcW w:w="8455" w:type="dxa"/>
          </w:tcPr>
          <w:p w14:paraId="21ED2886" w14:textId="77777777" w:rsidR="00AB5F98" w:rsidRDefault="00AB5F98" w:rsidP="007D7601">
            <w:pPr>
              <w:rPr>
                <w:b/>
                <w:bCs/>
              </w:rPr>
            </w:pPr>
          </w:p>
        </w:tc>
      </w:tr>
      <w:tr w:rsidR="00AB5F98" w14:paraId="792C1BD8" w14:textId="77777777" w:rsidTr="00AB5F98">
        <w:tc>
          <w:tcPr>
            <w:tcW w:w="4495" w:type="dxa"/>
          </w:tcPr>
          <w:p w14:paraId="68EB97B9" w14:textId="62B9B07E" w:rsidR="00AB5F98" w:rsidRPr="00AB5F98" w:rsidRDefault="00AB5F98" w:rsidP="007D7601">
            <w:pPr>
              <w:pStyle w:val="PlainText"/>
            </w:pPr>
            <w:r w:rsidRPr="00BB39FB">
              <w:rPr>
                <w:rFonts w:ascii="Times New Roman" w:hAnsi="Times New Roman"/>
                <w:b/>
                <w:sz w:val="24"/>
                <w:szCs w:val="24"/>
              </w:rPr>
              <w:t>1D.</w:t>
            </w:r>
            <w:r w:rsidRPr="00BB39FB">
              <w:rPr>
                <w:rFonts w:ascii="Times New Roman" w:hAnsi="Times New Roman"/>
                <w:sz w:val="24"/>
                <w:szCs w:val="24"/>
              </w:rPr>
              <w:t xml:space="preserve"> The program provides multiple opportunities for candidates to understand, articulate, and model the overall role of the </w:t>
            </w:r>
            <w:r w:rsidRPr="00BB39FB">
              <w:rPr>
                <w:rFonts w:ascii="Times New Roman" w:hAnsi="Times New Roman"/>
                <w:sz w:val="24"/>
                <w:szCs w:val="24"/>
              </w:rPr>
              <w:lastRenderedPageBreak/>
              <w:t>Teacher Librarian in diverse learning communities ensuring that they demonstrate the competencies identified in Standard 9 in Category C: Assessment of Candidate Competence.</w:t>
            </w:r>
          </w:p>
        </w:tc>
        <w:tc>
          <w:tcPr>
            <w:tcW w:w="8455" w:type="dxa"/>
          </w:tcPr>
          <w:p w14:paraId="31287C0F" w14:textId="77777777" w:rsidR="00AB5F98" w:rsidRDefault="00AB5F98" w:rsidP="007D7601">
            <w:pPr>
              <w:rPr>
                <w:b/>
                <w:bCs/>
              </w:rPr>
            </w:pPr>
          </w:p>
        </w:tc>
      </w:tr>
    </w:tbl>
    <w:p w14:paraId="7CE1D837" w14:textId="0900EF50" w:rsidR="00AB5F98" w:rsidRPr="00D406BB" w:rsidRDefault="00AB5F98" w:rsidP="00102F14">
      <w:pPr>
        <w:pStyle w:val="Heading2"/>
        <w:spacing w:before="240"/>
        <w:jc w:val="center"/>
        <w:rPr>
          <w:rFonts w:ascii="Times New Roman" w:hAnsi="Times New Roman" w:cs="Times New Roman"/>
          <w:b/>
          <w:bCs/>
          <w:color w:val="auto"/>
          <w:sz w:val="28"/>
          <w:szCs w:val="28"/>
        </w:rPr>
      </w:pPr>
      <w:r w:rsidRPr="00D406BB">
        <w:rPr>
          <w:rFonts w:ascii="Times New Roman" w:hAnsi="Times New Roman" w:cs="Times New Roman"/>
          <w:b/>
          <w:bCs/>
          <w:color w:val="auto"/>
          <w:sz w:val="28"/>
          <w:szCs w:val="28"/>
        </w:rPr>
        <w:t>Category B: Curriculum and Fieldwork</w:t>
      </w:r>
    </w:p>
    <w:p w14:paraId="27171F17" w14:textId="3BD16B30" w:rsidR="00AB5F98" w:rsidRPr="00D406BB" w:rsidRDefault="00AB5F98" w:rsidP="00D406BB">
      <w:pPr>
        <w:pStyle w:val="Heading3"/>
        <w:spacing w:before="0" w:after="120"/>
        <w:jc w:val="center"/>
        <w:rPr>
          <w:rFonts w:ascii="Times New Roman" w:hAnsi="Times New Roman" w:cs="Times New Roman"/>
          <w:b/>
          <w:bCs/>
          <w:color w:val="auto"/>
        </w:rPr>
      </w:pPr>
      <w:r w:rsidRPr="00D406BB">
        <w:rPr>
          <w:rFonts w:ascii="Times New Roman" w:hAnsi="Times New Roman" w:cs="Times New Roman"/>
          <w:b/>
          <w:bCs/>
          <w:color w:val="auto"/>
        </w:rPr>
        <w:t>Standard 2: Teaching for Learning for Learning</w:t>
      </w:r>
    </w:p>
    <w:tbl>
      <w:tblPr>
        <w:tblStyle w:val="TableGrid"/>
        <w:tblW w:w="0" w:type="auto"/>
        <w:tblLook w:val="04A0" w:firstRow="1" w:lastRow="0" w:firstColumn="1" w:lastColumn="0" w:noHBand="0" w:noVBand="1"/>
      </w:tblPr>
      <w:tblGrid>
        <w:gridCol w:w="4495"/>
        <w:gridCol w:w="8455"/>
      </w:tblGrid>
      <w:tr w:rsidR="00AB5F98" w14:paraId="2216A05E" w14:textId="77777777" w:rsidTr="00AB5F98">
        <w:trPr>
          <w:cantSplit/>
          <w:tblHeader/>
        </w:trPr>
        <w:tc>
          <w:tcPr>
            <w:tcW w:w="4495" w:type="dxa"/>
          </w:tcPr>
          <w:p w14:paraId="599CAC13" w14:textId="341096E8" w:rsidR="00AB5F98" w:rsidRPr="00AB5F98" w:rsidRDefault="00AB5F98" w:rsidP="007D7601">
            <w:pPr>
              <w:jc w:val="center"/>
              <w:rPr>
                <w:b/>
              </w:rPr>
            </w:pPr>
            <w:r w:rsidRPr="00BB39FB">
              <w:rPr>
                <w:b/>
              </w:rPr>
              <w:t>Standard Segment</w:t>
            </w:r>
          </w:p>
        </w:tc>
        <w:tc>
          <w:tcPr>
            <w:tcW w:w="8455" w:type="dxa"/>
          </w:tcPr>
          <w:p w14:paraId="592E6AE3" w14:textId="1DCB5399" w:rsidR="00AB5F98" w:rsidRPr="00BB39FB" w:rsidRDefault="00AB5F98" w:rsidP="007D7601">
            <w:pPr>
              <w:jc w:val="center"/>
              <w:rPr>
                <w:b/>
              </w:rPr>
            </w:pPr>
            <w:r w:rsidRPr="00BB39FB">
              <w:rPr>
                <w:b/>
              </w:rPr>
              <w:t>Narrative Describing How the Institution Meets the Standard</w:t>
            </w:r>
          </w:p>
          <w:p w14:paraId="6A824179" w14:textId="53EDF228" w:rsidR="00AB5F98" w:rsidRDefault="00AB5F98" w:rsidP="007D7601">
            <w:pPr>
              <w:jc w:val="center"/>
              <w:rPr>
                <w:b/>
                <w:bCs/>
              </w:rPr>
            </w:pPr>
            <w:r w:rsidRPr="00BB39FB">
              <w:t>hyperlink to supporting documentation</w:t>
            </w:r>
          </w:p>
        </w:tc>
      </w:tr>
      <w:tr w:rsidR="00AB5F98" w14:paraId="753D3C10" w14:textId="77777777" w:rsidTr="00AB5F98">
        <w:tc>
          <w:tcPr>
            <w:tcW w:w="4495" w:type="dxa"/>
          </w:tcPr>
          <w:p w14:paraId="5912EEB8" w14:textId="5D4959AE" w:rsidR="00AB5F98" w:rsidRPr="00AB5F98" w:rsidRDefault="00AB5F98" w:rsidP="007D7601">
            <w:pPr>
              <w:autoSpaceDE w:val="0"/>
              <w:autoSpaceDN w:val="0"/>
              <w:adjustRightInd w:val="0"/>
              <w:rPr>
                <w:rFonts w:eastAsia="Calibri"/>
              </w:rPr>
            </w:pPr>
            <w:r w:rsidRPr="00BB39FB">
              <w:rPr>
                <w:rFonts w:eastAsia="Calibri"/>
                <w:b/>
              </w:rPr>
              <w:t>2A</w:t>
            </w:r>
            <w:r w:rsidRPr="00BB39FB">
              <w:rPr>
                <w:rFonts w:eastAsia="Calibri"/>
              </w:rPr>
              <w:t xml:space="preserve">. </w:t>
            </w:r>
            <w:r w:rsidRPr="00BB39FB">
              <w:rPr>
                <w:bCs/>
              </w:rPr>
              <w:t>The program provides opportunities for candidates to use a variety of instructional strategies and assessment tools, including current and emerging technologies, to design, develop and implement standards-based learning experiences independently and in collaboration with teachers and other members of the educational community.</w:t>
            </w:r>
          </w:p>
        </w:tc>
        <w:tc>
          <w:tcPr>
            <w:tcW w:w="8455" w:type="dxa"/>
          </w:tcPr>
          <w:p w14:paraId="465CE801" w14:textId="77777777" w:rsidR="00AB5F98" w:rsidRDefault="00AB5F98" w:rsidP="007D7601">
            <w:pPr>
              <w:rPr>
                <w:b/>
                <w:bCs/>
              </w:rPr>
            </w:pPr>
          </w:p>
        </w:tc>
      </w:tr>
      <w:tr w:rsidR="00AB5F98" w14:paraId="5D5983C4" w14:textId="77777777" w:rsidTr="00AB5F98">
        <w:tc>
          <w:tcPr>
            <w:tcW w:w="4495" w:type="dxa"/>
          </w:tcPr>
          <w:p w14:paraId="49361983" w14:textId="0850AAB1" w:rsidR="00AB5F98" w:rsidRPr="00AB5F98" w:rsidRDefault="00AB5F98" w:rsidP="007D7601">
            <w:pPr>
              <w:autoSpaceDE w:val="0"/>
              <w:autoSpaceDN w:val="0"/>
              <w:adjustRightInd w:val="0"/>
              <w:rPr>
                <w:rFonts w:eastAsia="Calibri"/>
              </w:rPr>
            </w:pPr>
            <w:r w:rsidRPr="00BB39FB">
              <w:rPr>
                <w:rFonts w:eastAsia="Calibri"/>
                <w:b/>
              </w:rPr>
              <w:t>2B.</w:t>
            </w:r>
            <w:r w:rsidRPr="00BB39FB">
              <w:rPr>
                <w:rFonts w:eastAsia="Calibri"/>
              </w:rPr>
              <w:t xml:space="preserve"> </w:t>
            </w:r>
            <w:r w:rsidRPr="00BB39FB">
              <w:rPr>
                <w:bCs/>
              </w:rPr>
              <w:t>Candidates apply their knowledge of learners and learning to design instruction based on Model School Library Standards for California Public Schools, other academic content standards, learners’ interests and learning needs, and to link assessment to student achievement.</w:t>
            </w:r>
          </w:p>
        </w:tc>
        <w:tc>
          <w:tcPr>
            <w:tcW w:w="8455" w:type="dxa"/>
          </w:tcPr>
          <w:p w14:paraId="3B7D9F6A" w14:textId="77777777" w:rsidR="00AB5F98" w:rsidRDefault="00AB5F98" w:rsidP="007D7601">
            <w:pPr>
              <w:rPr>
                <w:b/>
                <w:bCs/>
              </w:rPr>
            </w:pPr>
          </w:p>
        </w:tc>
      </w:tr>
      <w:tr w:rsidR="00AB5F98" w14:paraId="706076BA" w14:textId="77777777" w:rsidTr="00AB5F98">
        <w:tc>
          <w:tcPr>
            <w:tcW w:w="4495" w:type="dxa"/>
          </w:tcPr>
          <w:p w14:paraId="0A593E69" w14:textId="27A87D19" w:rsidR="00AB5F98" w:rsidRPr="00AB5F98" w:rsidRDefault="00AB5F98" w:rsidP="007D7601">
            <w:pPr>
              <w:rPr>
                <w:bCs/>
              </w:rPr>
            </w:pPr>
            <w:r w:rsidRPr="00BB39FB">
              <w:rPr>
                <w:rFonts w:eastAsia="Calibri"/>
                <w:b/>
              </w:rPr>
              <w:t>2C.</w:t>
            </w:r>
            <w:r w:rsidRPr="00BB39FB">
              <w:rPr>
                <w:rFonts w:eastAsia="Calibri"/>
              </w:rPr>
              <w:t xml:space="preserve"> </w:t>
            </w:r>
            <w:r w:rsidRPr="00BB39FB">
              <w:rPr>
                <w:bCs/>
              </w:rPr>
              <w:t xml:space="preserve">Candidates gain the skills to contribute to the professional development of their </w:t>
            </w:r>
            <w:r w:rsidRPr="00BB39FB">
              <w:rPr>
                <w:bCs/>
              </w:rPr>
              <w:lastRenderedPageBreak/>
              <w:t>colleagues and the betterment of their schools.</w:t>
            </w:r>
          </w:p>
        </w:tc>
        <w:tc>
          <w:tcPr>
            <w:tcW w:w="8455" w:type="dxa"/>
          </w:tcPr>
          <w:p w14:paraId="1CBBEC2F" w14:textId="77777777" w:rsidR="00AB5F98" w:rsidRDefault="00AB5F98" w:rsidP="007D7601">
            <w:pPr>
              <w:rPr>
                <w:b/>
                <w:bCs/>
              </w:rPr>
            </w:pPr>
          </w:p>
        </w:tc>
      </w:tr>
    </w:tbl>
    <w:p w14:paraId="4724F81A" w14:textId="1A050FF2" w:rsidR="004A5CC0" w:rsidRPr="00D406BB" w:rsidRDefault="004A5CC0" w:rsidP="00D406BB">
      <w:pPr>
        <w:pStyle w:val="Heading3"/>
        <w:spacing w:before="240" w:after="120"/>
        <w:jc w:val="center"/>
        <w:rPr>
          <w:rFonts w:ascii="Times New Roman" w:hAnsi="Times New Roman" w:cs="Times New Roman"/>
          <w:b/>
          <w:bCs/>
          <w:color w:val="auto"/>
        </w:rPr>
      </w:pPr>
      <w:r w:rsidRPr="00D406BB">
        <w:rPr>
          <w:rFonts w:ascii="Times New Roman" w:hAnsi="Times New Roman" w:cs="Times New Roman"/>
          <w:b/>
          <w:bCs/>
          <w:color w:val="auto"/>
        </w:rPr>
        <w:t>Standard 3: Multiple Literacies</w:t>
      </w:r>
    </w:p>
    <w:tbl>
      <w:tblPr>
        <w:tblStyle w:val="TableGrid"/>
        <w:tblW w:w="0" w:type="auto"/>
        <w:tblLook w:val="04A0" w:firstRow="1" w:lastRow="0" w:firstColumn="1" w:lastColumn="0" w:noHBand="0" w:noVBand="1"/>
      </w:tblPr>
      <w:tblGrid>
        <w:gridCol w:w="4495"/>
        <w:gridCol w:w="8455"/>
      </w:tblGrid>
      <w:tr w:rsidR="004A5CC0" w14:paraId="0B4C3F10" w14:textId="77777777" w:rsidTr="00AF3ECC">
        <w:trPr>
          <w:cantSplit/>
          <w:tblHeader/>
        </w:trPr>
        <w:tc>
          <w:tcPr>
            <w:tcW w:w="4495" w:type="dxa"/>
          </w:tcPr>
          <w:p w14:paraId="1B9C5578" w14:textId="3C0AF0A3" w:rsidR="004A5CC0" w:rsidRDefault="004A5CC0" w:rsidP="007D7601">
            <w:pPr>
              <w:jc w:val="center"/>
              <w:rPr>
                <w:b/>
                <w:bCs/>
              </w:rPr>
            </w:pPr>
            <w:r w:rsidRPr="00BB39FB">
              <w:rPr>
                <w:b/>
              </w:rPr>
              <w:t>Standard Segment</w:t>
            </w:r>
          </w:p>
        </w:tc>
        <w:tc>
          <w:tcPr>
            <w:tcW w:w="8455" w:type="dxa"/>
          </w:tcPr>
          <w:p w14:paraId="0ABE6AC5" w14:textId="304D280D" w:rsidR="004A5CC0" w:rsidRPr="00BB39FB" w:rsidRDefault="004A5CC0" w:rsidP="007D7601">
            <w:pPr>
              <w:jc w:val="center"/>
              <w:rPr>
                <w:b/>
              </w:rPr>
            </w:pPr>
            <w:r w:rsidRPr="00BB39FB">
              <w:rPr>
                <w:b/>
              </w:rPr>
              <w:t>Narrative Describing How the Institution Meets the Standard</w:t>
            </w:r>
          </w:p>
          <w:p w14:paraId="5787AEDD" w14:textId="4612BAF8" w:rsidR="004A5CC0" w:rsidRDefault="004A5CC0" w:rsidP="007D7601">
            <w:pPr>
              <w:jc w:val="center"/>
              <w:rPr>
                <w:b/>
                <w:bCs/>
              </w:rPr>
            </w:pPr>
            <w:r w:rsidRPr="00BB39FB">
              <w:t>hyperlink to supporting documentation</w:t>
            </w:r>
          </w:p>
        </w:tc>
      </w:tr>
      <w:tr w:rsidR="004A5CC0" w14:paraId="0071F00E" w14:textId="77777777" w:rsidTr="004A5CC0">
        <w:tc>
          <w:tcPr>
            <w:tcW w:w="4495" w:type="dxa"/>
          </w:tcPr>
          <w:p w14:paraId="071BF613" w14:textId="219CC2EB" w:rsidR="004A5CC0" w:rsidRPr="004A5CC0" w:rsidRDefault="004A5CC0" w:rsidP="007D7601">
            <w:pPr>
              <w:autoSpaceDE w:val="0"/>
              <w:autoSpaceDN w:val="0"/>
              <w:adjustRightInd w:val="0"/>
              <w:rPr>
                <w:rFonts w:eastAsia="Calibri"/>
              </w:rPr>
            </w:pPr>
            <w:r w:rsidRPr="00BB39FB">
              <w:rPr>
                <w:rFonts w:eastAsia="Calibri"/>
                <w:b/>
              </w:rPr>
              <w:t>3A.</w:t>
            </w:r>
            <w:r w:rsidRPr="00BB39FB">
              <w:rPr>
                <w:rFonts w:eastAsia="Calibri"/>
              </w:rPr>
              <w:t xml:space="preserve"> </w:t>
            </w:r>
            <w:r w:rsidRPr="00BB39FB">
              <w:rPr>
                <w:bCs/>
              </w:rPr>
              <w:t>The program provides opportunities for candidates to demonstrate: the promotion of reading for learning, personal growth and enjoyment</w:t>
            </w:r>
            <w:r>
              <w:rPr>
                <w:bCs/>
              </w:rPr>
              <w:t>.</w:t>
            </w:r>
          </w:p>
        </w:tc>
        <w:tc>
          <w:tcPr>
            <w:tcW w:w="8455" w:type="dxa"/>
          </w:tcPr>
          <w:p w14:paraId="56BBDF4A" w14:textId="77777777" w:rsidR="004A5CC0" w:rsidRDefault="004A5CC0" w:rsidP="007D7601">
            <w:pPr>
              <w:rPr>
                <w:b/>
                <w:bCs/>
              </w:rPr>
            </w:pPr>
          </w:p>
        </w:tc>
      </w:tr>
      <w:tr w:rsidR="004A5CC0" w14:paraId="4AAF37C7" w14:textId="77777777" w:rsidTr="004A5CC0">
        <w:tc>
          <w:tcPr>
            <w:tcW w:w="4495" w:type="dxa"/>
          </w:tcPr>
          <w:p w14:paraId="2E12F838" w14:textId="6E6B18F2" w:rsidR="004A5CC0" w:rsidRPr="004A5CC0" w:rsidRDefault="004A5CC0" w:rsidP="007D7601">
            <w:pPr>
              <w:autoSpaceDE w:val="0"/>
              <w:autoSpaceDN w:val="0"/>
              <w:adjustRightInd w:val="0"/>
              <w:rPr>
                <w:rFonts w:eastAsia="Calibri"/>
              </w:rPr>
            </w:pPr>
            <w:r w:rsidRPr="00BB39FB">
              <w:rPr>
                <w:rFonts w:eastAsia="Calibri"/>
                <w:b/>
              </w:rPr>
              <w:t>3B.</w:t>
            </w:r>
            <w:r w:rsidRPr="00BB39FB">
              <w:rPr>
                <w:rFonts w:eastAsia="Calibri"/>
              </w:rPr>
              <w:t xml:space="preserve"> </w:t>
            </w:r>
            <w:r w:rsidRPr="00BB39FB">
              <w:rPr>
                <w:bCs/>
              </w:rPr>
              <w:t xml:space="preserve">collaboration with educational partners to support student learning; and development of multiple literacies throughout all disciplines. </w:t>
            </w:r>
            <w:r w:rsidRPr="00BB39FB">
              <w:rPr>
                <w:rFonts w:eastAsia="Calibri"/>
              </w:rPr>
              <w:t>throughout all disciplines.</w:t>
            </w:r>
          </w:p>
        </w:tc>
        <w:tc>
          <w:tcPr>
            <w:tcW w:w="8455" w:type="dxa"/>
          </w:tcPr>
          <w:p w14:paraId="28C9397D" w14:textId="77777777" w:rsidR="004A5CC0" w:rsidRDefault="004A5CC0" w:rsidP="007D7601">
            <w:pPr>
              <w:rPr>
                <w:b/>
                <w:bCs/>
              </w:rPr>
            </w:pPr>
          </w:p>
        </w:tc>
      </w:tr>
      <w:tr w:rsidR="004A5CC0" w14:paraId="035F04F0" w14:textId="77777777" w:rsidTr="004A5CC0">
        <w:tc>
          <w:tcPr>
            <w:tcW w:w="4495" w:type="dxa"/>
          </w:tcPr>
          <w:p w14:paraId="3EFBBACD" w14:textId="015D9B12" w:rsidR="004A5CC0" w:rsidRPr="004A5CC0" w:rsidRDefault="004A5CC0" w:rsidP="007D7601">
            <w:pPr>
              <w:autoSpaceDE w:val="0"/>
              <w:autoSpaceDN w:val="0"/>
              <w:adjustRightInd w:val="0"/>
              <w:rPr>
                <w:rFonts w:eastAsia="Calibri"/>
              </w:rPr>
            </w:pPr>
            <w:r w:rsidRPr="00BB39FB">
              <w:rPr>
                <w:rFonts w:eastAsia="Calibri"/>
                <w:b/>
              </w:rPr>
              <w:t>3C</w:t>
            </w:r>
            <w:r w:rsidRPr="00BB39FB">
              <w:rPr>
                <w:rFonts w:eastAsia="Calibri"/>
              </w:rPr>
              <w:t xml:space="preserve">. </w:t>
            </w:r>
            <w:r w:rsidRPr="00BB39FB">
              <w:rPr>
                <w:bCs/>
              </w:rPr>
              <w:t>Candidates demonstrate how to use a variety of strategies and resources (print, media, and digital) to reinforce literacy instruction in addressing the diverse needs and interests of all readers</w:t>
            </w:r>
            <w:r>
              <w:rPr>
                <w:bCs/>
              </w:rPr>
              <w:t>.</w:t>
            </w:r>
          </w:p>
        </w:tc>
        <w:tc>
          <w:tcPr>
            <w:tcW w:w="8455" w:type="dxa"/>
          </w:tcPr>
          <w:p w14:paraId="5A3A2309" w14:textId="77777777" w:rsidR="004A5CC0" w:rsidRDefault="004A5CC0" w:rsidP="007D7601">
            <w:pPr>
              <w:rPr>
                <w:b/>
                <w:bCs/>
              </w:rPr>
            </w:pPr>
          </w:p>
        </w:tc>
      </w:tr>
      <w:tr w:rsidR="004A5CC0" w14:paraId="6FB9D6CF" w14:textId="77777777" w:rsidTr="004A5CC0">
        <w:tc>
          <w:tcPr>
            <w:tcW w:w="4495" w:type="dxa"/>
          </w:tcPr>
          <w:p w14:paraId="6F4D178B" w14:textId="3594083D" w:rsidR="004A5CC0" w:rsidRPr="004A5CC0" w:rsidRDefault="004A5CC0" w:rsidP="007D7601">
            <w:pPr>
              <w:rPr>
                <w:bCs/>
              </w:rPr>
            </w:pPr>
            <w:r w:rsidRPr="00BB39FB">
              <w:rPr>
                <w:rFonts w:eastAsia="Calibri"/>
                <w:b/>
              </w:rPr>
              <w:t>3D.</w:t>
            </w:r>
            <w:r w:rsidRPr="00BB39FB">
              <w:rPr>
                <w:rFonts w:eastAsia="Calibri"/>
              </w:rPr>
              <w:t xml:space="preserve"> </w:t>
            </w:r>
            <w:r w:rsidRPr="00BB39FB">
              <w:rPr>
                <w:bCs/>
              </w:rPr>
              <w:t>Candidates are knowledgeable about a wide range of children’s, young adult, adult, professional literature and informational text in diverse formats and languages.</w:t>
            </w:r>
          </w:p>
        </w:tc>
        <w:tc>
          <w:tcPr>
            <w:tcW w:w="8455" w:type="dxa"/>
          </w:tcPr>
          <w:p w14:paraId="7B8D1DB6" w14:textId="77777777" w:rsidR="004A5CC0" w:rsidRDefault="004A5CC0" w:rsidP="007D7601">
            <w:pPr>
              <w:rPr>
                <w:b/>
                <w:bCs/>
              </w:rPr>
            </w:pPr>
          </w:p>
        </w:tc>
      </w:tr>
    </w:tbl>
    <w:p w14:paraId="7D86561E" w14:textId="77777777" w:rsidR="007D7601" w:rsidRDefault="007D7601" w:rsidP="007D7601">
      <w:pPr>
        <w:spacing w:before="240" w:after="120"/>
        <w:rPr>
          <w:b/>
          <w:bCs/>
        </w:rPr>
      </w:pPr>
    </w:p>
    <w:p w14:paraId="6F1801F2" w14:textId="77777777" w:rsidR="007D7601" w:rsidRDefault="007D7601">
      <w:pPr>
        <w:rPr>
          <w:b/>
          <w:bCs/>
        </w:rPr>
      </w:pPr>
      <w:r>
        <w:rPr>
          <w:b/>
          <w:bCs/>
        </w:rPr>
        <w:br w:type="page"/>
      </w:r>
    </w:p>
    <w:p w14:paraId="4F41801E" w14:textId="25A2BC21" w:rsidR="004A5CC0" w:rsidRPr="00D406BB" w:rsidRDefault="00AF3ECC" w:rsidP="00D406BB">
      <w:pPr>
        <w:pStyle w:val="Heading3"/>
        <w:spacing w:before="240" w:after="120"/>
        <w:jc w:val="center"/>
        <w:rPr>
          <w:rFonts w:ascii="Times New Roman" w:hAnsi="Times New Roman" w:cs="Times New Roman"/>
          <w:b/>
          <w:bCs/>
          <w:color w:val="auto"/>
        </w:rPr>
      </w:pPr>
      <w:r w:rsidRPr="00D406BB">
        <w:rPr>
          <w:rFonts w:ascii="Times New Roman" w:hAnsi="Times New Roman" w:cs="Times New Roman"/>
          <w:b/>
          <w:bCs/>
          <w:color w:val="auto"/>
        </w:rPr>
        <w:lastRenderedPageBreak/>
        <w:t>Standard 4: Information and Knowledge</w:t>
      </w:r>
    </w:p>
    <w:tbl>
      <w:tblPr>
        <w:tblStyle w:val="TableGrid"/>
        <w:tblW w:w="0" w:type="auto"/>
        <w:tblLook w:val="04A0" w:firstRow="1" w:lastRow="0" w:firstColumn="1" w:lastColumn="0" w:noHBand="0" w:noVBand="1"/>
      </w:tblPr>
      <w:tblGrid>
        <w:gridCol w:w="4495"/>
        <w:gridCol w:w="8455"/>
      </w:tblGrid>
      <w:tr w:rsidR="00AF3ECC" w14:paraId="2B2958E5" w14:textId="77777777" w:rsidTr="00AF3ECC">
        <w:trPr>
          <w:cantSplit/>
          <w:tblHeader/>
        </w:trPr>
        <w:tc>
          <w:tcPr>
            <w:tcW w:w="4495" w:type="dxa"/>
          </w:tcPr>
          <w:p w14:paraId="2CD6800C" w14:textId="7C7CD53D" w:rsidR="00AF3ECC" w:rsidRDefault="00AF3ECC" w:rsidP="007D7601">
            <w:pPr>
              <w:jc w:val="center"/>
              <w:rPr>
                <w:b/>
                <w:bCs/>
              </w:rPr>
            </w:pPr>
            <w:r w:rsidRPr="00BB39FB">
              <w:rPr>
                <w:b/>
              </w:rPr>
              <w:t>Standard Segment</w:t>
            </w:r>
          </w:p>
        </w:tc>
        <w:tc>
          <w:tcPr>
            <w:tcW w:w="8455" w:type="dxa"/>
          </w:tcPr>
          <w:p w14:paraId="5C0D82D0" w14:textId="77777777" w:rsidR="00AF3ECC" w:rsidRPr="00BB39FB" w:rsidRDefault="00AF3ECC" w:rsidP="007D7601">
            <w:pPr>
              <w:jc w:val="center"/>
              <w:rPr>
                <w:b/>
              </w:rPr>
            </w:pPr>
            <w:r w:rsidRPr="00BB39FB">
              <w:rPr>
                <w:b/>
              </w:rPr>
              <w:t>Narrative Describing How the Institution Meets the Standard</w:t>
            </w:r>
          </w:p>
          <w:p w14:paraId="3BFB1A36" w14:textId="0D6056EF" w:rsidR="00AF3ECC" w:rsidRDefault="00AF3ECC" w:rsidP="007D7601">
            <w:pPr>
              <w:jc w:val="center"/>
              <w:rPr>
                <w:b/>
                <w:bCs/>
              </w:rPr>
            </w:pPr>
            <w:r w:rsidRPr="00BB39FB">
              <w:t>hyperlink to supporting documentation</w:t>
            </w:r>
          </w:p>
        </w:tc>
      </w:tr>
      <w:tr w:rsidR="00AF3ECC" w14:paraId="2816684C" w14:textId="77777777" w:rsidTr="00AF3ECC">
        <w:tc>
          <w:tcPr>
            <w:tcW w:w="4495" w:type="dxa"/>
          </w:tcPr>
          <w:p w14:paraId="6C440369" w14:textId="5D415C9E" w:rsidR="00AF3ECC" w:rsidRPr="00AF3ECC" w:rsidRDefault="00AF3ECC" w:rsidP="007D7601">
            <w:pPr>
              <w:autoSpaceDE w:val="0"/>
              <w:autoSpaceDN w:val="0"/>
              <w:adjustRightInd w:val="0"/>
              <w:rPr>
                <w:rFonts w:eastAsia="Calibri"/>
              </w:rPr>
            </w:pPr>
            <w:r w:rsidRPr="00BB39FB">
              <w:rPr>
                <w:rFonts w:eastAsia="Calibri"/>
                <w:b/>
              </w:rPr>
              <w:t>4A.</w:t>
            </w:r>
            <w:r w:rsidRPr="00BB39FB">
              <w:rPr>
                <w:rFonts w:eastAsia="Calibri"/>
              </w:rPr>
              <w:t xml:space="preserve"> </w:t>
            </w:r>
            <w:r w:rsidRPr="00BB39FB">
              <w:rPr>
                <w:bCs/>
              </w:rPr>
              <w:t xml:space="preserve">The program provides opportunities for candidates to model and promote ethical and equitable access to physical, </w:t>
            </w:r>
            <w:r w:rsidRPr="00BB39FB">
              <w:rPr>
                <w:bCs/>
              </w:rPr>
              <w:t>digital,</w:t>
            </w:r>
            <w:r w:rsidRPr="00BB39FB">
              <w:rPr>
                <w:bCs/>
              </w:rPr>
              <w:t xml:space="preserve"> and virtual collections by students and staff.</w:t>
            </w:r>
          </w:p>
        </w:tc>
        <w:tc>
          <w:tcPr>
            <w:tcW w:w="8455" w:type="dxa"/>
          </w:tcPr>
          <w:p w14:paraId="0843B228" w14:textId="77777777" w:rsidR="00AF3ECC" w:rsidRDefault="00AF3ECC" w:rsidP="007D7601">
            <w:pPr>
              <w:rPr>
                <w:b/>
                <w:bCs/>
              </w:rPr>
            </w:pPr>
          </w:p>
        </w:tc>
      </w:tr>
      <w:tr w:rsidR="00AF3ECC" w14:paraId="2107F8F8" w14:textId="77777777" w:rsidTr="00AF3ECC">
        <w:tc>
          <w:tcPr>
            <w:tcW w:w="4495" w:type="dxa"/>
          </w:tcPr>
          <w:p w14:paraId="7EABF52F" w14:textId="5205C3EC" w:rsidR="00AF3ECC" w:rsidRPr="00AF3ECC" w:rsidRDefault="00AF3ECC" w:rsidP="007D7601">
            <w:pPr>
              <w:autoSpaceDE w:val="0"/>
              <w:autoSpaceDN w:val="0"/>
              <w:adjustRightInd w:val="0"/>
              <w:rPr>
                <w:rFonts w:eastAsia="Calibri"/>
              </w:rPr>
            </w:pPr>
            <w:r w:rsidRPr="00BB39FB">
              <w:rPr>
                <w:rFonts w:eastAsia="Calibri"/>
                <w:b/>
              </w:rPr>
              <w:t>4B.</w:t>
            </w:r>
            <w:r w:rsidRPr="00BB39FB">
              <w:rPr>
                <w:rFonts w:eastAsia="Calibri"/>
              </w:rPr>
              <w:t xml:space="preserve"> </w:t>
            </w:r>
            <w:r w:rsidRPr="00BB39FB">
              <w:rPr>
                <w:bCs/>
              </w:rPr>
              <w:t>Candidates instruct students and staff in effective use of these collections. Candidates demonstrate knowledge of a variety of information sources and services that support the needs of diverse educational communities.</w:t>
            </w:r>
          </w:p>
        </w:tc>
        <w:tc>
          <w:tcPr>
            <w:tcW w:w="8455" w:type="dxa"/>
          </w:tcPr>
          <w:p w14:paraId="25EA1A84" w14:textId="77777777" w:rsidR="00AF3ECC" w:rsidRDefault="00AF3ECC" w:rsidP="007D7601">
            <w:pPr>
              <w:rPr>
                <w:b/>
                <w:bCs/>
              </w:rPr>
            </w:pPr>
          </w:p>
        </w:tc>
      </w:tr>
      <w:tr w:rsidR="00AF3ECC" w14:paraId="02650DFB" w14:textId="77777777" w:rsidTr="00AF3ECC">
        <w:tc>
          <w:tcPr>
            <w:tcW w:w="4495" w:type="dxa"/>
          </w:tcPr>
          <w:p w14:paraId="49E712B7" w14:textId="240DD826" w:rsidR="00AF3ECC" w:rsidRPr="00AF3ECC" w:rsidRDefault="00AF3ECC" w:rsidP="007D7601">
            <w:pPr>
              <w:rPr>
                <w:bCs/>
              </w:rPr>
            </w:pPr>
            <w:r w:rsidRPr="00BB39FB">
              <w:rPr>
                <w:rFonts w:eastAsia="Calibri"/>
                <w:b/>
              </w:rPr>
              <w:t>4C</w:t>
            </w:r>
            <w:r w:rsidRPr="00BB39FB">
              <w:rPr>
                <w:rFonts w:eastAsia="Calibri"/>
              </w:rPr>
              <w:t xml:space="preserve">. </w:t>
            </w:r>
            <w:r w:rsidRPr="00BB39FB">
              <w:rPr>
                <w:bCs/>
              </w:rPr>
              <w:t>Candidates demonstrate</w:t>
            </w:r>
            <w:r w:rsidRPr="00BB39FB">
              <w:rPr>
                <w:b/>
                <w:bCs/>
              </w:rPr>
              <w:t xml:space="preserve"> </w:t>
            </w:r>
            <w:r w:rsidRPr="00BB39FB">
              <w:rPr>
                <w:bCs/>
              </w:rPr>
              <w:t>the use of various research strategies to improve teacher librarian practice.</w:t>
            </w:r>
          </w:p>
        </w:tc>
        <w:tc>
          <w:tcPr>
            <w:tcW w:w="8455" w:type="dxa"/>
          </w:tcPr>
          <w:p w14:paraId="40C5E167" w14:textId="77777777" w:rsidR="00AF3ECC" w:rsidRDefault="00AF3ECC" w:rsidP="007D7601">
            <w:pPr>
              <w:rPr>
                <w:b/>
                <w:bCs/>
              </w:rPr>
            </w:pPr>
          </w:p>
        </w:tc>
      </w:tr>
    </w:tbl>
    <w:p w14:paraId="3428FBCF" w14:textId="5EFAB0DB" w:rsidR="00AF3ECC" w:rsidRPr="00D406BB" w:rsidRDefault="00AF3ECC" w:rsidP="00D406BB">
      <w:pPr>
        <w:pStyle w:val="Heading3"/>
        <w:spacing w:before="240" w:after="120"/>
        <w:jc w:val="center"/>
        <w:rPr>
          <w:rFonts w:ascii="Times New Roman" w:hAnsi="Times New Roman" w:cs="Times New Roman"/>
          <w:b/>
          <w:bCs/>
          <w:color w:val="auto"/>
        </w:rPr>
      </w:pPr>
      <w:r w:rsidRPr="00D406BB">
        <w:rPr>
          <w:rFonts w:ascii="Times New Roman" w:hAnsi="Times New Roman" w:cs="Times New Roman"/>
          <w:b/>
          <w:bCs/>
          <w:color w:val="auto"/>
        </w:rPr>
        <w:t>Standard 5: Leadership and Advocacy</w:t>
      </w:r>
    </w:p>
    <w:tbl>
      <w:tblPr>
        <w:tblStyle w:val="TableGrid"/>
        <w:tblW w:w="0" w:type="auto"/>
        <w:tblLook w:val="04A0" w:firstRow="1" w:lastRow="0" w:firstColumn="1" w:lastColumn="0" w:noHBand="0" w:noVBand="1"/>
      </w:tblPr>
      <w:tblGrid>
        <w:gridCol w:w="4495"/>
        <w:gridCol w:w="8455"/>
      </w:tblGrid>
      <w:tr w:rsidR="00AF3ECC" w14:paraId="2DD625B2" w14:textId="77777777" w:rsidTr="00AF3ECC">
        <w:trPr>
          <w:cantSplit/>
          <w:tblHeader/>
        </w:trPr>
        <w:tc>
          <w:tcPr>
            <w:tcW w:w="4495" w:type="dxa"/>
          </w:tcPr>
          <w:p w14:paraId="2893EA09" w14:textId="6CD78B4A" w:rsidR="00AF3ECC" w:rsidRDefault="00AF3ECC" w:rsidP="007D7601">
            <w:pPr>
              <w:jc w:val="center"/>
              <w:rPr>
                <w:b/>
                <w:bCs/>
              </w:rPr>
            </w:pPr>
            <w:r w:rsidRPr="00BB39FB">
              <w:rPr>
                <w:b/>
              </w:rPr>
              <w:t>Standard Segment</w:t>
            </w:r>
          </w:p>
        </w:tc>
        <w:tc>
          <w:tcPr>
            <w:tcW w:w="8455" w:type="dxa"/>
          </w:tcPr>
          <w:p w14:paraId="24077C9D" w14:textId="77777777" w:rsidR="00AF3ECC" w:rsidRPr="00BB39FB" w:rsidRDefault="00AF3ECC" w:rsidP="007D7601">
            <w:pPr>
              <w:jc w:val="center"/>
              <w:rPr>
                <w:b/>
              </w:rPr>
            </w:pPr>
            <w:r w:rsidRPr="00BB39FB">
              <w:rPr>
                <w:b/>
              </w:rPr>
              <w:t>Narrative Describing How the Institution Meets the Standard</w:t>
            </w:r>
          </w:p>
          <w:p w14:paraId="4D862214" w14:textId="4E4447B6" w:rsidR="00AF3ECC" w:rsidRDefault="00AF3ECC" w:rsidP="007D7601">
            <w:pPr>
              <w:jc w:val="center"/>
              <w:rPr>
                <w:b/>
                <w:bCs/>
              </w:rPr>
            </w:pPr>
            <w:r w:rsidRPr="00BB39FB">
              <w:t>hyperlink to supporting documentation</w:t>
            </w:r>
          </w:p>
        </w:tc>
      </w:tr>
      <w:tr w:rsidR="00AF3ECC" w14:paraId="282E3ED6" w14:textId="77777777" w:rsidTr="00AF3ECC">
        <w:tc>
          <w:tcPr>
            <w:tcW w:w="4495" w:type="dxa"/>
          </w:tcPr>
          <w:p w14:paraId="0B70DBA2" w14:textId="40FC5FA5" w:rsidR="00AF3ECC" w:rsidRPr="00AF3ECC" w:rsidRDefault="00AF3ECC" w:rsidP="007D7601">
            <w:pPr>
              <w:autoSpaceDE w:val="0"/>
              <w:autoSpaceDN w:val="0"/>
              <w:adjustRightInd w:val="0"/>
              <w:rPr>
                <w:rFonts w:eastAsia="Calibri"/>
              </w:rPr>
            </w:pPr>
            <w:r w:rsidRPr="00BB39FB">
              <w:rPr>
                <w:rFonts w:eastAsia="Calibri"/>
                <w:b/>
              </w:rPr>
              <w:t>5A.</w:t>
            </w:r>
            <w:r w:rsidRPr="00BB39FB">
              <w:rPr>
                <w:rFonts w:eastAsia="Calibri"/>
              </w:rPr>
              <w:t xml:space="preserve"> </w:t>
            </w:r>
            <w:r w:rsidRPr="00BB39FB">
              <w:rPr>
                <w:bCs/>
              </w:rPr>
              <w:t>The teacher librarian preparation program provides opportunities for candidates to articulate and advocate for effective school library programs and positive learning environments that focus on student learning and achievement. Candidates collaborate and connect with the school and greater educational community.</w:t>
            </w:r>
          </w:p>
        </w:tc>
        <w:tc>
          <w:tcPr>
            <w:tcW w:w="8455" w:type="dxa"/>
          </w:tcPr>
          <w:p w14:paraId="03A691A6" w14:textId="77777777" w:rsidR="00AF3ECC" w:rsidRDefault="00AF3ECC" w:rsidP="007D7601">
            <w:pPr>
              <w:rPr>
                <w:b/>
                <w:bCs/>
              </w:rPr>
            </w:pPr>
          </w:p>
        </w:tc>
      </w:tr>
      <w:tr w:rsidR="00AF3ECC" w14:paraId="30C89A3C" w14:textId="77777777" w:rsidTr="00AF3ECC">
        <w:tc>
          <w:tcPr>
            <w:tcW w:w="4495" w:type="dxa"/>
          </w:tcPr>
          <w:p w14:paraId="112D4DB2" w14:textId="1312195B" w:rsidR="00AF3ECC" w:rsidRPr="00AF3ECC" w:rsidRDefault="00AF3ECC" w:rsidP="007D7601">
            <w:pPr>
              <w:autoSpaceDE w:val="0"/>
              <w:autoSpaceDN w:val="0"/>
              <w:adjustRightInd w:val="0"/>
              <w:rPr>
                <w:rFonts w:eastAsia="Calibri"/>
              </w:rPr>
            </w:pPr>
            <w:r w:rsidRPr="00BB39FB">
              <w:rPr>
                <w:rFonts w:eastAsia="Calibri"/>
                <w:b/>
              </w:rPr>
              <w:lastRenderedPageBreak/>
              <w:t>5B.</w:t>
            </w:r>
            <w:r w:rsidRPr="00BB39FB">
              <w:rPr>
                <w:rFonts w:eastAsia="Calibri"/>
              </w:rPr>
              <w:t xml:space="preserve"> </w:t>
            </w:r>
            <w:r w:rsidRPr="00BB39FB">
              <w:rPr>
                <w:bCs/>
              </w:rPr>
              <w:t>Candidates model and communicate current legal and ethical codes of the profession</w:t>
            </w:r>
            <w:r>
              <w:rPr>
                <w:bCs/>
              </w:rPr>
              <w:t>.</w:t>
            </w:r>
          </w:p>
        </w:tc>
        <w:tc>
          <w:tcPr>
            <w:tcW w:w="8455" w:type="dxa"/>
          </w:tcPr>
          <w:p w14:paraId="120A50C0" w14:textId="77777777" w:rsidR="00AF3ECC" w:rsidRDefault="00AF3ECC" w:rsidP="007D7601">
            <w:pPr>
              <w:rPr>
                <w:b/>
                <w:bCs/>
              </w:rPr>
            </w:pPr>
          </w:p>
        </w:tc>
      </w:tr>
      <w:tr w:rsidR="00AF3ECC" w14:paraId="34C657C3" w14:textId="77777777" w:rsidTr="00AF3ECC">
        <w:tc>
          <w:tcPr>
            <w:tcW w:w="4495" w:type="dxa"/>
          </w:tcPr>
          <w:p w14:paraId="1AD1CA63" w14:textId="051CD8D6" w:rsidR="00AF3ECC" w:rsidRPr="00AF3ECC" w:rsidRDefault="00AF3ECC" w:rsidP="007D7601">
            <w:pPr>
              <w:autoSpaceDE w:val="0"/>
              <w:autoSpaceDN w:val="0"/>
              <w:adjustRightInd w:val="0"/>
              <w:rPr>
                <w:rFonts w:eastAsia="Calibri"/>
              </w:rPr>
            </w:pPr>
            <w:r w:rsidRPr="00BB39FB">
              <w:rPr>
                <w:rFonts w:eastAsia="Calibri"/>
                <w:b/>
              </w:rPr>
              <w:t>5C</w:t>
            </w:r>
            <w:r w:rsidRPr="00BB39FB">
              <w:rPr>
                <w:rFonts w:eastAsia="Calibri"/>
              </w:rPr>
              <w:t xml:space="preserve">. </w:t>
            </w:r>
            <w:r w:rsidRPr="00BB39FB">
              <w:rPr>
                <w:bCs/>
              </w:rPr>
              <w:t>participate in and are committed to continuous learning and professional growth</w:t>
            </w:r>
            <w:r>
              <w:rPr>
                <w:bCs/>
              </w:rPr>
              <w:t>.</w:t>
            </w:r>
          </w:p>
        </w:tc>
        <w:tc>
          <w:tcPr>
            <w:tcW w:w="8455" w:type="dxa"/>
          </w:tcPr>
          <w:p w14:paraId="7D4E0297" w14:textId="77777777" w:rsidR="00AF3ECC" w:rsidRDefault="00AF3ECC" w:rsidP="007D7601">
            <w:pPr>
              <w:rPr>
                <w:b/>
                <w:bCs/>
              </w:rPr>
            </w:pPr>
          </w:p>
        </w:tc>
      </w:tr>
      <w:tr w:rsidR="00AF3ECC" w14:paraId="73B65BDC" w14:textId="77777777" w:rsidTr="00AF3ECC">
        <w:tc>
          <w:tcPr>
            <w:tcW w:w="4495" w:type="dxa"/>
          </w:tcPr>
          <w:p w14:paraId="3821A5E3" w14:textId="23BCF085" w:rsidR="00AF3ECC" w:rsidRPr="00AF3ECC" w:rsidRDefault="00AF3ECC" w:rsidP="007D7601">
            <w:pPr>
              <w:rPr>
                <w:bCs/>
              </w:rPr>
            </w:pPr>
            <w:r w:rsidRPr="00BB39FB">
              <w:rPr>
                <w:rFonts w:eastAsia="Calibri"/>
                <w:b/>
              </w:rPr>
              <w:t>5D.</w:t>
            </w:r>
            <w:r w:rsidRPr="00BB39FB">
              <w:rPr>
                <w:rFonts w:eastAsia="Calibri"/>
              </w:rPr>
              <w:t xml:space="preserve"> </w:t>
            </w:r>
            <w:r w:rsidRPr="00BB39FB">
              <w:rPr>
                <w:bCs/>
              </w:rPr>
              <w:t>and gain the skills to provide instructional and professional leadership, including professional development, which can positively impact the school library program and student achievement.</w:t>
            </w:r>
          </w:p>
        </w:tc>
        <w:tc>
          <w:tcPr>
            <w:tcW w:w="8455" w:type="dxa"/>
          </w:tcPr>
          <w:p w14:paraId="7DE5CB54" w14:textId="77777777" w:rsidR="00AF3ECC" w:rsidRDefault="00AF3ECC" w:rsidP="007D7601">
            <w:pPr>
              <w:rPr>
                <w:b/>
                <w:bCs/>
              </w:rPr>
            </w:pPr>
          </w:p>
        </w:tc>
      </w:tr>
    </w:tbl>
    <w:p w14:paraId="525F9BFF" w14:textId="0C8F983E" w:rsidR="00AF3ECC" w:rsidRPr="00D406BB" w:rsidRDefault="00741EF3" w:rsidP="00D406BB">
      <w:pPr>
        <w:pStyle w:val="Heading3"/>
        <w:spacing w:before="240" w:after="120"/>
        <w:jc w:val="center"/>
        <w:rPr>
          <w:rFonts w:ascii="Times New Roman" w:hAnsi="Times New Roman" w:cs="Times New Roman"/>
          <w:b/>
          <w:bCs/>
          <w:color w:val="auto"/>
        </w:rPr>
      </w:pPr>
      <w:r w:rsidRPr="00D406BB">
        <w:rPr>
          <w:rFonts w:ascii="Times New Roman" w:hAnsi="Times New Roman" w:cs="Times New Roman"/>
          <w:b/>
          <w:bCs/>
          <w:color w:val="auto"/>
        </w:rPr>
        <w:t>Standard 6: Program Administration</w:t>
      </w:r>
    </w:p>
    <w:tbl>
      <w:tblPr>
        <w:tblStyle w:val="TableGrid"/>
        <w:tblW w:w="0" w:type="auto"/>
        <w:tblLook w:val="04A0" w:firstRow="1" w:lastRow="0" w:firstColumn="1" w:lastColumn="0" w:noHBand="0" w:noVBand="1"/>
      </w:tblPr>
      <w:tblGrid>
        <w:gridCol w:w="4495"/>
        <w:gridCol w:w="8455"/>
      </w:tblGrid>
      <w:tr w:rsidR="00741EF3" w14:paraId="579DF081" w14:textId="77777777" w:rsidTr="00741EF3">
        <w:trPr>
          <w:cantSplit/>
          <w:tblHeader/>
        </w:trPr>
        <w:tc>
          <w:tcPr>
            <w:tcW w:w="4495" w:type="dxa"/>
          </w:tcPr>
          <w:p w14:paraId="79D56A08" w14:textId="11D7A43A" w:rsidR="00741EF3" w:rsidRDefault="00741EF3" w:rsidP="007D7601">
            <w:pPr>
              <w:jc w:val="center"/>
              <w:rPr>
                <w:b/>
                <w:bCs/>
              </w:rPr>
            </w:pPr>
            <w:r w:rsidRPr="00BB39FB">
              <w:rPr>
                <w:b/>
              </w:rPr>
              <w:t>Standard Segment</w:t>
            </w:r>
          </w:p>
        </w:tc>
        <w:tc>
          <w:tcPr>
            <w:tcW w:w="8455" w:type="dxa"/>
          </w:tcPr>
          <w:p w14:paraId="18C3EF2F" w14:textId="77777777" w:rsidR="00741EF3" w:rsidRPr="00BB39FB" w:rsidRDefault="00741EF3" w:rsidP="007D7601">
            <w:pPr>
              <w:jc w:val="center"/>
              <w:rPr>
                <w:b/>
              </w:rPr>
            </w:pPr>
            <w:r w:rsidRPr="00BB39FB">
              <w:rPr>
                <w:b/>
              </w:rPr>
              <w:t>Narrative Describing How the Institution Meets the Standard</w:t>
            </w:r>
          </w:p>
          <w:p w14:paraId="0B51AE72" w14:textId="2FBB94B3" w:rsidR="00741EF3" w:rsidRDefault="00741EF3" w:rsidP="007D7601">
            <w:pPr>
              <w:jc w:val="center"/>
              <w:rPr>
                <w:b/>
                <w:bCs/>
              </w:rPr>
            </w:pPr>
            <w:r w:rsidRPr="00BB39FB">
              <w:t>hyperlink to supporting documentation</w:t>
            </w:r>
          </w:p>
        </w:tc>
      </w:tr>
      <w:tr w:rsidR="00741EF3" w14:paraId="48152F1F" w14:textId="77777777" w:rsidTr="00741EF3">
        <w:tc>
          <w:tcPr>
            <w:tcW w:w="4495" w:type="dxa"/>
          </w:tcPr>
          <w:p w14:paraId="61205B54" w14:textId="57D2F530" w:rsidR="00741EF3" w:rsidRPr="00741EF3" w:rsidRDefault="00741EF3" w:rsidP="007D7601">
            <w:pPr>
              <w:autoSpaceDE w:val="0"/>
              <w:autoSpaceDN w:val="0"/>
              <w:adjustRightInd w:val="0"/>
              <w:rPr>
                <w:rFonts w:eastAsia="Calibri"/>
              </w:rPr>
            </w:pPr>
            <w:r w:rsidRPr="00BB39FB">
              <w:rPr>
                <w:rFonts w:eastAsia="Calibri"/>
                <w:b/>
              </w:rPr>
              <w:t>6A.</w:t>
            </w:r>
            <w:r w:rsidRPr="00BB39FB">
              <w:rPr>
                <w:rFonts w:eastAsia="Calibri"/>
              </w:rPr>
              <w:t xml:space="preserve"> </w:t>
            </w:r>
            <w:r w:rsidRPr="00BB39FB">
              <w:rPr>
                <w:bCs/>
              </w:rPr>
              <w:t>The program provides opportunities for candidates to examine best practices to plan, develop, budget for, implement, and assess school library programs. Candidates are able to develop and implement policies, procedures, and services in support of the school’s mission and according to the ethics and principles of library and information science.</w:t>
            </w:r>
          </w:p>
        </w:tc>
        <w:tc>
          <w:tcPr>
            <w:tcW w:w="8455" w:type="dxa"/>
          </w:tcPr>
          <w:p w14:paraId="315C96E2" w14:textId="77777777" w:rsidR="00741EF3" w:rsidRPr="00741EF3" w:rsidRDefault="00741EF3" w:rsidP="007D7601">
            <w:pPr>
              <w:rPr>
                <w:b/>
                <w:bCs/>
              </w:rPr>
            </w:pPr>
          </w:p>
        </w:tc>
      </w:tr>
      <w:tr w:rsidR="00741EF3" w14:paraId="663E0F01" w14:textId="77777777" w:rsidTr="00741EF3">
        <w:tc>
          <w:tcPr>
            <w:tcW w:w="4495" w:type="dxa"/>
          </w:tcPr>
          <w:p w14:paraId="6FBD9BFD" w14:textId="775902E1" w:rsidR="00741EF3" w:rsidRPr="00741EF3" w:rsidRDefault="00741EF3" w:rsidP="007D7601">
            <w:pPr>
              <w:autoSpaceDE w:val="0"/>
              <w:autoSpaceDN w:val="0"/>
              <w:adjustRightInd w:val="0"/>
              <w:rPr>
                <w:rFonts w:eastAsia="Calibri"/>
              </w:rPr>
            </w:pPr>
            <w:r w:rsidRPr="00BB39FB">
              <w:rPr>
                <w:rFonts w:eastAsia="Calibri"/>
                <w:b/>
              </w:rPr>
              <w:t>6B.</w:t>
            </w:r>
            <w:r w:rsidRPr="00BB39FB">
              <w:rPr>
                <w:rFonts w:eastAsia="Calibri"/>
              </w:rPr>
              <w:t xml:space="preserve"> </w:t>
            </w:r>
            <w:r w:rsidRPr="00BB39FB">
              <w:rPr>
                <w:bCs/>
              </w:rPr>
              <w:t xml:space="preserve">Candidates gain the skills to supervise classified staff, student library assistants, and volunteers.  </w:t>
            </w:r>
            <w:r w:rsidRPr="00BB39FB">
              <w:rPr>
                <w:rFonts w:eastAsia="Calibri"/>
              </w:rPr>
              <w:t>library assistants, and volunteers.</w:t>
            </w:r>
          </w:p>
        </w:tc>
        <w:tc>
          <w:tcPr>
            <w:tcW w:w="8455" w:type="dxa"/>
          </w:tcPr>
          <w:p w14:paraId="5816300C" w14:textId="77777777" w:rsidR="00741EF3" w:rsidRPr="00741EF3" w:rsidRDefault="00741EF3" w:rsidP="007D7601">
            <w:pPr>
              <w:rPr>
                <w:b/>
                <w:bCs/>
              </w:rPr>
            </w:pPr>
          </w:p>
        </w:tc>
      </w:tr>
      <w:tr w:rsidR="00741EF3" w14:paraId="4A266F35" w14:textId="77777777" w:rsidTr="00741EF3">
        <w:tc>
          <w:tcPr>
            <w:tcW w:w="4495" w:type="dxa"/>
          </w:tcPr>
          <w:p w14:paraId="75D2809D" w14:textId="05B211FE" w:rsidR="00741EF3" w:rsidRPr="00741EF3" w:rsidRDefault="00741EF3" w:rsidP="007D7601">
            <w:pPr>
              <w:autoSpaceDE w:val="0"/>
              <w:autoSpaceDN w:val="0"/>
              <w:adjustRightInd w:val="0"/>
              <w:rPr>
                <w:rFonts w:eastAsia="Calibri"/>
              </w:rPr>
            </w:pPr>
            <w:r w:rsidRPr="00BB39FB">
              <w:rPr>
                <w:rFonts w:eastAsia="Calibri"/>
                <w:b/>
              </w:rPr>
              <w:lastRenderedPageBreak/>
              <w:t>6C</w:t>
            </w:r>
            <w:r w:rsidRPr="00BB39FB">
              <w:rPr>
                <w:rFonts w:eastAsia="Calibri"/>
              </w:rPr>
              <w:t xml:space="preserve">. </w:t>
            </w:r>
            <w:r w:rsidRPr="00BB39FB">
              <w:rPr>
                <w:bCs/>
              </w:rPr>
              <w:t xml:space="preserve">Candidates evaluate and select physical, </w:t>
            </w:r>
            <w:r w:rsidRPr="00BB39FB">
              <w:rPr>
                <w:bCs/>
              </w:rPr>
              <w:t>digital,</w:t>
            </w:r>
            <w:r w:rsidRPr="00BB39FB">
              <w:rPr>
                <w:bCs/>
              </w:rPr>
              <w:t xml:space="preserve"> and virtual resources using a selection policy, professional selection tools, and evaluation criteria.</w:t>
            </w:r>
          </w:p>
        </w:tc>
        <w:tc>
          <w:tcPr>
            <w:tcW w:w="8455" w:type="dxa"/>
          </w:tcPr>
          <w:p w14:paraId="279CEC6A" w14:textId="77777777" w:rsidR="00741EF3" w:rsidRPr="00741EF3" w:rsidRDefault="00741EF3" w:rsidP="007D7601">
            <w:pPr>
              <w:rPr>
                <w:b/>
                <w:bCs/>
              </w:rPr>
            </w:pPr>
          </w:p>
        </w:tc>
      </w:tr>
      <w:tr w:rsidR="00741EF3" w14:paraId="21EFE49A" w14:textId="77777777" w:rsidTr="00741EF3">
        <w:tc>
          <w:tcPr>
            <w:tcW w:w="4495" w:type="dxa"/>
          </w:tcPr>
          <w:p w14:paraId="3F850FC8" w14:textId="5DE41385" w:rsidR="00741EF3" w:rsidRPr="00741EF3" w:rsidRDefault="00741EF3" w:rsidP="007D7601">
            <w:pPr>
              <w:autoSpaceDE w:val="0"/>
              <w:autoSpaceDN w:val="0"/>
              <w:adjustRightInd w:val="0"/>
              <w:rPr>
                <w:rFonts w:eastAsia="Calibri"/>
              </w:rPr>
            </w:pPr>
            <w:r w:rsidRPr="00BB39FB">
              <w:rPr>
                <w:rFonts w:eastAsia="Calibri"/>
                <w:b/>
              </w:rPr>
              <w:t>6D.</w:t>
            </w:r>
            <w:r w:rsidRPr="00BB39FB">
              <w:rPr>
                <w:rFonts w:eastAsia="Calibri"/>
              </w:rPr>
              <w:t xml:space="preserve"> </w:t>
            </w:r>
            <w:r w:rsidRPr="00BB39FB">
              <w:rPr>
                <w:bCs/>
              </w:rPr>
              <w:t>Candidates gain the skills to develop and manage a quality collection designed to meet the diverse curricular, cultural, personal, and professional needs of the school community,</w:t>
            </w:r>
          </w:p>
        </w:tc>
        <w:tc>
          <w:tcPr>
            <w:tcW w:w="8455" w:type="dxa"/>
          </w:tcPr>
          <w:p w14:paraId="6EBB4917" w14:textId="77777777" w:rsidR="00741EF3" w:rsidRPr="00741EF3" w:rsidRDefault="00741EF3" w:rsidP="007D7601">
            <w:pPr>
              <w:rPr>
                <w:b/>
                <w:bCs/>
              </w:rPr>
            </w:pPr>
          </w:p>
        </w:tc>
      </w:tr>
      <w:tr w:rsidR="00741EF3" w14:paraId="524359E0" w14:textId="77777777" w:rsidTr="00741EF3">
        <w:tc>
          <w:tcPr>
            <w:tcW w:w="4495" w:type="dxa"/>
          </w:tcPr>
          <w:p w14:paraId="0B21BB7E" w14:textId="55A76527" w:rsidR="00741EF3" w:rsidRPr="00741EF3" w:rsidRDefault="00741EF3" w:rsidP="007D7601">
            <w:pPr>
              <w:autoSpaceDE w:val="0"/>
              <w:autoSpaceDN w:val="0"/>
              <w:adjustRightInd w:val="0"/>
              <w:rPr>
                <w:rFonts w:eastAsia="Calibri"/>
              </w:rPr>
            </w:pPr>
            <w:r w:rsidRPr="00BB39FB">
              <w:rPr>
                <w:rFonts w:eastAsia="Calibri"/>
                <w:b/>
              </w:rPr>
              <w:t>6E.</w:t>
            </w:r>
            <w:r w:rsidRPr="00BB39FB">
              <w:rPr>
                <w:rFonts w:eastAsia="Calibri"/>
              </w:rPr>
              <w:t xml:space="preserve"> </w:t>
            </w:r>
            <w:r w:rsidRPr="00BB39FB">
              <w:rPr>
                <w:bCs/>
              </w:rPr>
              <w:t>and organize the</w:t>
            </w:r>
            <w:r w:rsidRPr="00BB39FB">
              <w:rPr>
                <w:b/>
                <w:bCs/>
              </w:rPr>
              <w:t xml:space="preserve"> </w:t>
            </w:r>
            <w:r w:rsidRPr="00BB39FB">
              <w:rPr>
                <w:bCs/>
              </w:rPr>
              <w:t>collection according to standard library cataloging and classification principles</w:t>
            </w:r>
            <w:r>
              <w:rPr>
                <w:bCs/>
              </w:rPr>
              <w:t>.</w:t>
            </w:r>
          </w:p>
        </w:tc>
        <w:tc>
          <w:tcPr>
            <w:tcW w:w="8455" w:type="dxa"/>
          </w:tcPr>
          <w:p w14:paraId="2822988E" w14:textId="77777777" w:rsidR="00741EF3" w:rsidRPr="00741EF3" w:rsidRDefault="00741EF3" w:rsidP="007D7601">
            <w:pPr>
              <w:rPr>
                <w:b/>
                <w:bCs/>
              </w:rPr>
            </w:pPr>
          </w:p>
        </w:tc>
      </w:tr>
    </w:tbl>
    <w:p w14:paraId="6C8C09AC" w14:textId="4AA0752C" w:rsidR="00741EF3" w:rsidRPr="00D406BB" w:rsidRDefault="00741EF3" w:rsidP="00D406BB">
      <w:pPr>
        <w:pStyle w:val="Heading3"/>
        <w:spacing w:before="240" w:after="120"/>
        <w:jc w:val="center"/>
        <w:rPr>
          <w:rFonts w:ascii="Times New Roman" w:hAnsi="Times New Roman" w:cs="Times New Roman"/>
          <w:b/>
          <w:bCs/>
          <w:color w:val="auto"/>
        </w:rPr>
      </w:pPr>
      <w:r w:rsidRPr="00D406BB">
        <w:rPr>
          <w:rFonts w:ascii="Times New Roman" w:hAnsi="Times New Roman" w:cs="Times New Roman"/>
          <w:b/>
          <w:bCs/>
          <w:color w:val="auto"/>
        </w:rPr>
        <w:t>Standard 7: Diversity and Equity</w:t>
      </w:r>
    </w:p>
    <w:tbl>
      <w:tblPr>
        <w:tblStyle w:val="TableGrid"/>
        <w:tblW w:w="0" w:type="auto"/>
        <w:tblLook w:val="04A0" w:firstRow="1" w:lastRow="0" w:firstColumn="1" w:lastColumn="0" w:noHBand="0" w:noVBand="1"/>
      </w:tblPr>
      <w:tblGrid>
        <w:gridCol w:w="4495"/>
        <w:gridCol w:w="8455"/>
      </w:tblGrid>
      <w:tr w:rsidR="00741EF3" w14:paraId="0E3CD953" w14:textId="77777777" w:rsidTr="00741EF3">
        <w:trPr>
          <w:cantSplit/>
          <w:tblHeader/>
        </w:trPr>
        <w:tc>
          <w:tcPr>
            <w:tcW w:w="4495" w:type="dxa"/>
          </w:tcPr>
          <w:p w14:paraId="091F6C24" w14:textId="3ABFF3BD" w:rsidR="00741EF3" w:rsidRDefault="00741EF3" w:rsidP="007D7601">
            <w:pPr>
              <w:jc w:val="center"/>
              <w:rPr>
                <w:b/>
                <w:bCs/>
              </w:rPr>
            </w:pPr>
            <w:r w:rsidRPr="00BB39FB">
              <w:rPr>
                <w:b/>
              </w:rPr>
              <w:t>Standard Segment</w:t>
            </w:r>
          </w:p>
        </w:tc>
        <w:tc>
          <w:tcPr>
            <w:tcW w:w="8455" w:type="dxa"/>
          </w:tcPr>
          <w:p w14:paraId="70F676CB" w14:textId="77777777" w:rsidR="00741EF3" w:rsidRPr="00BB39FB" w:rsidRDefault="00741EF3" w:rsidP="007D7601">
            <w:pPr>
              <w:jc w:val="center"/>
              <w:rPr>
                <w:b/>
              </w:rPr>
            </w:pPr>
            <w:r w:rsidRPr="00BB39FB">
              <w:rPr>
                <w:b/>
              </w:rPr>
              <w:t>Narrative Describing How the Institution Meets the Standard</w:t>
            </w:r>
          </w:p>
          <w:p w14:paraId="1584444C" w14:textId="3A38417B" w:rsidR="00741EF3" w:rsidRDefault="00741EF3" w:rsidP="007D7601">
            <w:pPr>
              <w:jc w:val="center"/>
              <w:rPr>
                <w:b/>
                <w:bCs/>
              </w:rPr>
            </w:pPr>
            <w:r w:rsidRPr="00BB39FB">
              <w:t>hyperlink to supporting documentation</w:t>
            </w:r>
          </w:p>
        </w:tc>
      </w:tr>
      <w:tr w:rsidR="00741EF3" w14:paraId="79CBE98D" w14:textId="77777777" w:rsidTr="00741EF3">
        <w:tc>
          <w:tcPr>
            <w:tcW w:w="4495" w:type="dxa"/>
          </w:tcPr>
          <w:p w14:paraId="4F6A0417" w14:textId="5E991612" w:rsidR="00741EF3" w:rsidRPr="00741EF3" w:rsidRDefault="00741EF3" w:rsidP="007D7601">
            <w:pPr>
              <w:autoSpaceDE w:val="0"/>
              <w:autoSpaceDN w:val="0"/>
              <w:adjustRightInd w:val="0"/>
              <w:rPr>
                <w:rFonts w:eastAsia="Calibri"/>
              </w:rPr>
            </w:pPr>
            <w:r w:rsidRPr="00BB39FB">
              <w:rPr>
                <w:rFonts w:eastAsia="Calibri"/>
                <w:b/>
              </w:rPr>
              <w:t>7A.</w:t>
            </w:r>
            <w:r w:rsidRPr="00BB39FB">
              <w:rPr>
                <w:rFonts w:eastAsia="Calibri"/>
              </w:rPr>
              <w:t xml:space="preserve"> </w:t>
            </w:r>
            <w:r w:rsidRPr="00BB39FB">
              <w:rPr>
                <w:bCs/>
              </w:rPr>
              <w:t>The program provides opportunities for candidates to effectively instruct and support all learners in their role as teacher librarians.</w:t>
            </w:r>
          </w:p>
        </w:tc>
        <w:tc>
          <w:tcPr>
            <w:tcW w:w="8455" w:type="dxa"/>
          </w:tcPr>
          <w:p w14:paraId="312BD660" w14:textId="77777777" w:rsidR="00741EF3" w:rsidRDefault="00741EF3" w:rsidP="007D7601">
            <w:pPr>
              <w:rPr>
                <w:b/>
                <w:bCs/>
              </w:rPr>
            </w:pPr>
          </w:p>
        </w:tc>
      </w:tr>
      <w:tr w:rsidR="00741EF3" w14:paraId="589C3A9C" w14:textId="77777777" w:rsidTr="00741EF3">
        <w:tc>
          <w:tcPr>
            <w:tcW w:w="4495" w:type="dxa"/>
          </w:tcPr>
          <w:p w14:paraId="1ECBCDC5" w14:textId="0762CAEF" w:rsidR="00741EF3" w:rsidRPr="00741EF3" w:rsidRDefault="00741EF3" w:rsidP="007D7601">
            <w:pPr>
              <w:autoSpaceDE w:val="0"/>
              <w:autoSpaceDN w:val="0"/>
              <w:adjustRightInd w:val="0"/>
              <w:rPr>
                <w:rFonts w:eastAsia="Calibri"/>
              </w:rPr>
            </w:pPr>
            <w:r w:rsidRPr="00BB39FB">
              <w:rPr>
                <w:rFonts w:eastAsia="Calibri"/>
                <w:b/>
              </w:rPr>
              <w:t>7B.</w:t>
            </w:r>
            <w:r w:rsidRPr="00BB39FB">
              <w:rPr>
                <w:rFonts w:eastAsia="Calibri"/>
              </w:rPr>
              <w:t xml:space="preserve"> </w:t>
            </w:r>
            <w:r w:rsidRPr="00BB39FB">
              <w:rPr>
                <w:bCs/>
              </w:rPr>
              <w:t>Candidates learn to provide a library program that is appropriate for the diverse needs, interests, capabilities, and socio-cultural and linguistic backgrounds of all learners</w:t>
            </w:r>
            <w:r>
              <w:rPr>
                <w:bCs/>
              </w:rPr>
              <w:t>.</w:t>
            </w:r>
          </w:p>
        </w:tc>
        <w:tc>
          <w:tcPr>
            <w:tcW w:w="8455" w:type="dxa"/>
          </w:tcPr>
          <w:p w14:paraId="0BA1C8AD" w14:textId="77777777" w:rsidR="00741EF3" w:rsidRDefault="00741EF3" w:rsidP="007D7601">
            <w:pPr>
              <w:rPr>
                <w:b/>
                <w:bCs/>
              </w:rPr>
            </w:pPr>
          </w:p>
        </w:tc>
      </w:tr>
      <w:tr w:rsidR="00741EF3" w14:paraId="4E972844" w14:textId="77777777" w:rsidTr="00741EF3">
        <w:tc>
          <w:tcPr>
            <w:tcW w:w="4495" w:type="dxa"/>
          </w:tcPr>
          <w:p w14:paraId="7C81617D" w14:textId="31386534" w:rsidR="00741EF3" w:rsidRPr="00741EF3" w:rsidRDefault="00741EF3" w:rsidP="007D7601">
            <w:pPr>
              <w:autoSpaceDE w:val="0"/>
              <w:autoSpaceDN w:val="0"/>
              <w:adjustRightInd w:val="0"/>
              <w:rPr>
                <w:rFonts w:eastAsia="Calibri"/>
              </w:rPr>
            </w:pPr>
            <w:r w:rsidRPr="00BB39FB">
              <w:rPr>
                <w:rFonts w:eastAsia="Calibri"/>
                <w:b/>
              </w:rPr>
              <w:t>7C.</w:t>
            </w:r>
            <w:r w:rsidRPr="00BB39FB">
              <w:rPr>
                <w:rFonts w:eastAsia="Calibri"/>
              </w:rPr>
              <w:t xml:space="preserve"> </w:t>
            </w:r>
            <w:r w:rsidRPr="00BB39FB">
              <w:rPr>
                <w:bCs/>
              </w:rPr>
              <w:t>Candidates are prepared to provide equitable access to resources</w:t>
            </w:r>
          </w:p>
        </w:tc>
        <w:tc>
          <w:tcPr>
            <w:tcW w:w="8455" w:type="dxa"/>
          </w:tcPr>
          <w:p w14:paraId="0A85EB0E" w14:textId="77777777" w:rsidR="00741EF3" w:rsidRDefault="00741EF3" w:rsidP="007D7601">
            <w:pPr>
              <w:rPr>
                <w:b/>
                <w:bCs/>
              </w:rPr>
            </w:pPr>
          </w:p>
        </w:tc>
      </w:tr>
      <w:tr w:rsidR="00741EF3" w14:paraId="0FBBCC7F" w14:textId="77777777" w:rsidTr="00741EF3">
        <w:tc>
          <w:tcPr>
            <w:tcW w:w="4495" w:type="dxa"/>
          </w:tcPr>
          <w:p w14:paraId="17F08AAD" w14:textId="6734ABE9" w:rsidR="00741EF3" w:rsidRPr="00741EF3" w:rsidRDefault="00741EF3" w:rsidP="007D7601">
            <w:pPr>
              <w:rPr>
                <w:bCs/>
              </w:rPr>
            </w:pPr>
            <w:r w:rsidRPr="00BB39FB">
              <w:rPr>
                <w:rFonts w:eastAsia="Calibri"/>
                <w:b/>
              </w:rPr>
              <w:lastRenderedPageBreak/>
              <w:t>7D.</w:t>
            </w:r>
            <w:r w:rsidRPr="00BB39FB">
              <w:rPr>
                <w:rFonts w:eastAsia="Calibri"/>
              </w:rPr>
              <w:t xml:space="preserve"> </w:t>
            </w:r>
            <w:r w:rsidRPr="00BB39FB">
              <w:rPr>
                <w:bCs/>
              </w:rPr>
              <w:t>and promote the appreciation of diversity among members of the school community.</w:t>
            </w:r>
          </w:p>
        </w:tc>
        <w:tc>
          <w:tcPr>
            <w:tcW w:w="8455" w:type="dxa"/>
          </w:tcPr>
          <w:p w14:paraId="0204DDC0" w14:textId="77777777" w:rsidR="00741EF3" w:rsidRDefault="00741EF3" w:rsidP="007D7601">
            <w:pPr>
              <w:rPr>
                <w:b/>
                <w:bCs/>
              </w:rPr>
            </w:pPr>
          </w:p>
        </w:tc>
      </w:tr>
    </w:tbl>
    <w:p w14:paraId="08BBF034" w14:textId="7D899076" w:rsidR="00741EF3" w:rsidRPr="00D406BB" w:rsidRDefault="00D45C06" w:rsidP="00D406BB">
      <w:pPr>
        <w:pStyle w:val="Heading3"/>
        <w:spacing w:before="240" w:after="120"/>
        <w:jc w:val="center"/>
        <w:rPr>
          <w:rFonts w:ascii="Times New Roman" w:hAnsi="Times New Roman" w:cs="Times New Roman"/>
          <w:b/>
          <w:bCs/>
          <w:color w:val="auto"/>
        </w:rPr>
      </w:pPr>
      <w:r w:rsidRPr="00D406BB">
        <w:rPr>
          <w:rFonts w:ascii="Times New Roman" w:hAnsi="Times New Roman" w:cs="Times New Roman"/>
          <w:b/>
          <w:bCs/>
          <w:color w:val="auto"/>
        </w:rPr>
        <w:t>Standard 8: Field Experience</w:t>
      </w:r>
    </w:p>
    <w:tbl>
      <w:tblPr>
        <w:tblStyle w:val="TableGrid"/>
        <w:tblW w:w="0" w:type="auto"/>
        <w:tblLook w:val="04A0" w:firstRow="1" w:lastRow="0" w:firstColumn="1" w:lastColumn="0" w:noHBand="0" w:noVBand="1"/>
      </w:tblPr>
      <w:tblGrid>
        <w:gridCol w:w="4495"/>
        <w:gridCol w:w="8455"/>
      </w:tblGrid>
      <w:tr w:rsidR="007B256B" w14:paraId="5BC3676E" w14:textId="77777777" w:rsidTr="007B256B">
        <w:trPr>
          <w:cantSplit/>
          <w:tblHeader/>
        </w:trPr>
        <w:tc>
          <w:tcPr>
            <w:tcW w:w="4495" w:type="dxa"/>
          </w:tcPr>
          <w:p w14:paraId="3F5A18D8" w14:textId="6D7987C1" w:rsidR="007B256B" w:rsidRDefault="007B256B" w:rsidP="007D7601">
            <w:pPr>
              <w:jc w:val="center"/>
              <w:rPr>
                <w:b/>
                <w:bCs/>
              </w:rPr>
            </w:pPr>
            <w:r w:rsidRPr="00BB39FB">
              <w:rPr>
                <w:b/>
              </w:rPr>
              <w:t>Standard Segment</w:t>
            </w:r>
          </w:p>
        </w:tc>
        <w:tc>
          <w:tcPr>
            <w:tcW w:w="8455" w:type="dxa"/>
          </w:tcPr>
          <w:p w14:paraId="6A59DF69" w14:textId="77777777" w:rsidR="007B256B" w:rsidRPr="00BB39FB" w:rsidRDefault="007B256B" w:rsidP="007D7601">
            <w:pPr>
              <w:jc w:val="center"/>
              <w:rPr>
                <w:b/>
              </w:rPr>
            </w:pPr>
            <w:r w:rsidRPr="00BB39FB">
              <w:rPr>
                <w:b/>
              </w:rPr>
              <w:t>Narrative Describing How the Institution Meets the Standard</w:t>
            </w:r>
          </w:p>
          <w:p w14:paraId="7E77FA1F" w14:textId="14DCB95B" w:rsidR="007B256B" w:rsidRDefault="007B256B" w:rsidP="007D7601">
            <w:pPr>
              <w:jc w:val="center"/>
              <w:rPr>
                <w:b/>
                <w:bCs/>
              </w:rPr>
            </w:pPr>
            <w:r w:rsidRPr="00BB39FB">
              <w:t>hyperlink to supporting documentation</w:t>
            </w:r>
          </w:p>
        </w:tc>
      </w:tr>
      <w:tr w:rsidR="007B256B" w14:paraId="0DE3E76D" w14:textId="77777777" w:rsidTr="00D45C06">
        <w:tc>
          <w:tcPr>
            <w:tcW w:w="4495" w:type="dxa"/>
          </w:tcPr>
          <w:p w14:paraId="7263BDA6" w14:textId="749E43C1" w:rsidR="007B256B" w:rsidRPr="007B256B" w:rsidRDefault="007B256B" w:rsidP="007D76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sidRPr="00BB39FB">
              <w:rPr>
                <w:b/>
              </w:rPr>
              <w:t>8A.</w:t>
            </w:r>
            <w:r w:rsidRPr="00BB39FB">
              <w:t xml:space="preserve"> </w:t>
            </w:r>
            <w:r w:rsidRPr="00BB39FB">
              <w:rPr>
                <w:bCs/>
              </w:rPr>
              <w:t>Candidates participate in significant field experiences designed to apply concepts and knowledge as described in Standards 2-7.</w:t>
            </w:r>
          </w:p>
        </w:tc>
        <w:tc>
          <w:tcPr>
            <w:tcW w:w="8455" w:type="dxa"/>
          </w:tcPr>
          <w:p w14:paraId="776F8F93" w14:textId="77777777" w:rsidR="007B256B" w:rsidRDefault="007B256B" w:rsidP="007D7601">
            <w:pPr>
              <w:rPr>
                <w:b/>
                <w:bCs/>
              </w:rPr>
            </w:pPr>
          </w:p>
        </w:tc>
      </w:tr>
      <w:tr w:rsidR="007B256B" w14:paraId="2B216EC3" w14:textId="77777777" w:rsidTr="00D45C06">
        <w:tc>
          <w:tcPr>
            <w:tcW w:w="4495" w:type="dxa"/>
          </w:tcPr>
          <w:p w14:paraId="7B31FF29" w14:textId="601A4C38" w:rsidR="007B256B" w:rsidRPr="007B256B" w:rsidRDefault="007B256B" w:rsidP="007D76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B39FB">
              <w:rPr>
                <w:b/>
              </w:rPr>
              <w:t>8B.</w:t>
            </w:r>
            <w:r w:rsidRPr="00BB39FB">
              <w:t xml:space="preserve"> </w:t>
            </w:r>
            <w:r w:rsidRPr="00BB39FB">
              <w:rPr>
                <w:bCs/>
              </w:rPr>
              <w:t>Field experiences are integral to the coursework and address the major duties and responsibilities authorized by the Teacher Librarian Services Credential, including collaboration with teachers using the Model School Library Standards for California Public Schools.</w:t>
            </w:r>
          </w:p>
        </w:tc>
        <w:tc>
          <w:tcPr>
            <w:tcW w:w="8455" w:type="dxa"/>
          </w:tcPr>
          <w:p w14:paraId="4816BB6F" w14:textId="77777777" w:rsidR="007B256B" w:rsidRDefault="007B256B" w:rsidP="007D7601">
            <w:pPr>
              <w:rPr>
                <w:b/>
                <w:bCs/>
              </w:rPr>
            </w:pPr>
          </w:p>
        </w:tc>
      </w:tr>
      <w:tr w:rsidR="007B256B" w14:paraId="337A2D28" w14:textId="77777777" w:rsidTr="00D45C06">
        <w:tc>
          <w:tcPr>
            <w:tcW w:w="4495" w:type="dxa"/>
          </w:tcPr>
          <w:p w14:paraId="3CA2F5B9" w14:textId="0B760EA5" w:rsidR="007B256B" w:rsidRPr="007B256B" w:rsidRDefault="007B256B" w:rsidP="007D76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B39FB">
              <w:rPr>
                <w:b/>
              </w:rPr>
              <w:t>8C.</w:t>
            </w:r>
            <w:r w:rsidRPr="00BB39FB">
              <w:t xml:space="preserve"> </w:t>
            </w:r>
            <w:r w:rsidRPr="00BB39FB">
              <w:rPr>
                <w:bCs/>
              </w:rPr>
              <w:t xml:space="preserve">Fieldwork includes experiences in a variety of diverse and realistic settings in the day-to-day functions of school site teacher librarians. One type of field experience must occur in a school library under the supervision of a credentialed teacher librarian. The fieldwork includes experiences with diverse elementary and secondary students including English learners, students with disabilities, gifted </w:t>
            </w:r>
            <w:r w:rsidRPr="00BB39FB">
              <w:rPr>
                <w:bCs/>
              </w:rPr>
              <w:lastRenderedPageBreak/>
              <w:t xml:space="preserve">and talented students, and students at risk. Field experiences may also include participation in school and district committees, district level activities, leadership teams, professional associations, professional learning, and other types of libraries. </w:t>
            </w:r>
          </w:p>
        </w:tc>
        <w:tc>
          <w:tcPr>
            <w:tcW w:w="8455" w:type="dxa"/>
          </w:tcPr>
          <w:p w14:paraId="52B98D9A" w14:textId="77777777" w:rsidR="007B256B" w:rsidRDefault="007B256B" w:rsidP="007D7601">
            <w:pPr>
              <w:rPr>
                <w:b/>
                <w:bCs/>
              </w:rPr>
            </w:pPr>
          </w:p>
        </w:tc>
      </w:tr>
      <w:tr w:rsidR="007B256B" w14:paraId="41DEA6E9" w14:textId="77777777" w:rsidTr="00D45C06">
        <w:tc>
          <w:tcPr>
            <w:tcW w:w="4495" w:type="dxa"/>
          </w:tcPr>
          <w:p w14:paraId="712313B2" w14:textId="0278B9B4" w:rsidR="007B256B" w:rsidRPr="007B256B" w:rsidRDefault="007B256B" w:rsidP="007D7601">
            <w:pPr>
              <w:rPr>
                <w:bCs/>
              </w:rPr>
            </w:pPr>
            <w:r w:rsidRPr="00BB39FB">
              <w:rPr>
                <w:b/>
                <w:bCs/>
              </w:rPr>
              <w:t>8D.</w:t>
            </w:r>
            <w:r w:rsidRPr="00BB39FB">
              <w:rPr>
                <w:bCs/>
              </w:rPr>
              <w:t xml:space="preserve"> Field experiences include on-going guidance, assistance and timely feedback by identified mentors to guide improvements in practice.</w:t>
            </w:r>
          </w:p>
        </w:tc>
        <w:tc>
          <w:tcPr>
            <w:tcW w:w="8455" w:type="dxa"/>
          </w:tcPr>
          <w:p w14:paraId="69B78E65" w14:textId="77777777" w:rsidR="007B256B" w:rsidRDefault="007B256B" w:rsidP="007D7601">
            <w:pPr>
              <w:rPr>
                <w:b/>
                <w:bCs/>
              </w:rPr>
            </w:pPr>
          </w:p>
        </w:tc>
      </w:tr>
    </w:tbl>
    <w:p w14:paraId="162D3AF7" w14:textId="4105BB99" w:rsidR="007D7601" w:rsidRDefault="007D7601" w:rsidP="007D7601">
      <w:pPr>
        <w:pStyle w:val="Heading2"/>
        <w:spacing w:before="24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C</w:t>
      </w:r>
      <w:r w:rsidR="007B256B" w:rsidRPr="00102F14">
        <w:rPr>
          <w:rFonts w:ascii="Times New Roman" w:hAnsi="Times New Roman" w:cs="Times New Roman"/>
          <w:b/>
          <w:bCs/>
          <w:color w:val="auto"/>
          <w:sz w:val="24"/>
          <w:szCs w:val="24"/>
        </w:rPr>
        <w:t>ategory C: Candidate Assessment</w:t>
      </w:r>
    </w:p>
    <w:p w14:paraId="0C40488E" w14:textId="24F99747" w:rsidR="007B256B" w:rsidRPr="00D406BB" w:rsidRDefault="007B256B" w:rsidP="00D406BB">
      <w:pPr>
        <w:pStyle w:val="Heading3"/>
        <w:spacing w:before="0" w:after="240"/>
        <w:jc w:val="center"/>
        <w:rPr>
          <w:rFonts w:ascii="Times New Roman" w:hAnsi="Times New Roman" w:cs="Times New Roman"/>
          <w:b/>
          <w:bCs/>
          <w:color w:val="auto"/>
        </w:rPr>
      </w:pPr>
      <w:r w:rsidRPr="00D406BB">
        <w:rPr>
          <w:rFonts w:ascii="Times New Roman" w:hAnsi="Times New Roman" w:cs="Times New Roman"/>
          <w:b/>
          <w:bCs/>
          <w:color w:val="auto"/>
        </w:rPr>
        <w:t>Standard 9: Determination of Candidate Competence</w:t>
      </w:r>
    </w:p>
    <w:tbl>
      <w:tblPr>
        <w:tblStyle w:val="TableGrid"/>
        <w:tblW w:w="0" w:type="auto"/>
        <w:tblLook w:val="04A0" w:firstRow="1" w:lastRow="0" w:firstColumn="1" w:lastColumn="0" w:noHBand="0" w:noVBand="1"/>
      </w:tblPr>
      <w:tblGrid>
        <w:gridCol w:w="4495"/>
        <w:gridCol w:w="8455"/>
      </w:tblGrid>
      <w:tr w:rsidR="007B256B" w14:paraId="086BE6A3" w14:textId="77777777" w:rsidTr="007B256B">
        <w:trPr>
          <w:cantSplit/>
          <w:tblHeader/>
        </w:trPr>
        <w:tc>
          <w:tcPr>
            <w:tcW w:w="4495" w:type="dxa"/>
          </w:tcPr>
          <w:p w14:paraId="31EDD142" w14:textId="6E528CEB" w:rsidR="007B256B" w:rsidRDefault="007B256B" w:rsidP="007D7601">
            <w:pPr>
              <w:jc w:val="center"/>
              <w:rPr>
                <w:b/>
                <w:bCs/>
              </w:rPr>
            </w:pPr>
            <w:r w:rsidRPr="00BB39FB">
              <w:rPr>
                <w:b/>
              </w:rPr>
              <w:t>Standard Segment</w:t>
            </w:r>
          </w:p>
        </w:tc>
        <w:tc>
          <w:tcPr>
            <w:tcW w:w="8455" w:type="dxa"/>
          </w:tcPr>
          <w:p w14:paraId="6FF5167E" w14:textId="77777777" w:rsidR="007B256B" w:rsidRPr="00BB39FB" w:rsidRDefault="007B256B" w:rsidP="007D7601">
            <w:pPr>
              <w:jc w:val="center"/>
              <w:rPr>
                <w:b/>
              </w:rPr>
            </w:pPr>
            <w:r w:rsidRPr="00BB39FB">
              <w:rPr>
                <w:b/>
              </w:rPr>
              <w:t>Narrative Describing How the Institution Meets the Standard</w:t>
            </w:r>
          </w:p>
          <w:p w14:paraId="0B81AA38" w14:textId="286CDB2F" w:rsidR="007B256B" w:rsidRDefault="007B256B" w:rsidP="007D7601">
            <w:pPr>
              <w:jc w:val="center"/>
              <w:rPr>
                <w:b/>
                <w:bCs/>
              </w:rPr>
            </w:pPr>
            <w:r w:rsidRPr="00BB39FB">
              <w:t>hyperlink to supporting documentation</w:t>
            </w:r>
          </w:p>
        </w:tc>
      </w:tr>
      <w:tr w:rsidR="007B256B" w14:paraId="56841F60" w14:textId="77777777" w:rsidTr="007B256B">
        <w:tc>
          <w:tcPr>
            <w:tcW w:w="4495" w:type="dxa"/>
          </w:tcPr>
          <w:p w14:paraId="2E7BA8D9" w14:textId="6E44FD39" w:rsidR="007B256B" w:rsidRPr="007B256B" w:rsidRDefault="007B256B" w:rsidP="00732B27">
            <w:pPr>
              <w:rPr>
                <w:bCs/>
                <w:color w:val="333333"/>
              </w:rPr>
            </w:pPr>
            <w:r w:rsidRPr="00BB39FB">
              <w:rPr>
                <w:b/>
              </w:rPr>
              <w:t>9.</w:t>
            </w:r>
            <w:r w:rsidRPr="00BB39FB">
              <w:t xml:space="preserve"> </w:t>
            </w:r>
            <w:r w:rsidRPr="00BB39FB">
              <w:rPr>
                <w:bCs/>
                <w:color w:val="333333"/>
              </w:rPr>
              <w:t>Program sponsors use multiple measures to determine that each candidate has demonstrated competence across proficiencies in the areas of teaching for learning, multiple literacies, information and knowledge, leadership and advocacy, program administration, and diversity and equity.</w:t>
            </w:r>
          </w:p>
        </w:tc>
        <w:tc>
          <w:tcPr>
            <w:tcW w:w="8455" w:type="dxa"/>
          </w:tcPr>
          <w:p w14:paraId="5909580F" w14:textId="77777777" w:rsidR="007B256B" w:rsidRDefault="007B256B" w:rsidP="00732B27">
            <w:pPr>
              <w:rPr>
                <w:b/>
                <w:bCs/>
              </w:rPr>
            </w:pPr>
          </w:p>
        </w:tc>
      </w:tr>
    </w:tbl>
    <w:p w14:paraId="524D88A9" w14:textId="77777777" w:rsidR="00732B27" w:rsidRDefault="00732B27">
      <w:pPr>
        <w:rPr>
          <w:b/>
          <w:bCs/>
        </w:rPr>
      </w:pPr>
      <w:r>
        <w:rPr>
          <w:b/>
          <w:bCs/>
        </w:rPr>
        <w:br w:type="page"/>
      </w:r>
    </w:p>
    <w:p w14:paraId="059D90B9" w14:textId="31F2FFD6" w:rsidR="007B256B" w:rsidRPr="00D406BB" w:rsidRDefault="007B256B" w:rsidP="00D406BB">
      <w:pPr>
        <w:pStyle w:val="Heading3"/>
        <w:spacing w:before="240" w:after="120"/>
        <w:jc w:val="center"/>
        <w:rPr>
          <w:rFonts w:ascii="Times New Roman" w:hAnsi="Times New Roman" w:cs="Times New Roman"/>
          <w:b/>
          <w:bCs/>
          <w:color w:val="auto"/>
        </w:rPr>
      </w:pPr>
      <w:r w:rsidRPr="00D406BB">
        <w:rPr>
          <w:rFonts w:ascii="Times New Roman" w:hAnsi="Times New Roman" w:cs="Times New Roman"/>
          <w:b/>
          <w:bCs/>
          <w:color w:val="auto"/>
        </w:rPr>
        <w:lastRenderedPageBreak/>
        <w:t>Standard 10: Information and Digital Literacy as Academic Content Areas</w:t>
      </w:r>
    </w:p>
    <w:tbl>
      <w:tblPr>
        <w:tblStyle w:val="TableGrid"/>
        <w:tblW w:w="0" w:type="auto"/>
        <w:tblLook w:val="04A0" w:firstRow="1" w:lastRow="0" w:firstColumn="1" w:lastColumn="0" w:noHBand="0" w:noVBand="1"/>
      </w:tblPr>
      <w:tblGrid>
        <w:gridCol w:w="4495"/>
        <w:gridCol w:w="8455"/>
      </w:tblGrid>
      <w:tr w:rsidR="007B256B" w14:paraId="43A990DF" w14:textId="77777777" w:rsidTr="007B256B">
        <w:trPr>
          <w:cantSplit/>
          <w:tblHeader/>
        </w:trPr>
        <w:tc>
          <w:tcPr>
            <w:tcW w:w="4495" w:type="dxa"/>
          </w:tcPr>
          <w:p w14:paraId="7AB6A7B7" w14:textId="4C7B893B" w:rsidR="007B256B" w:rsidRDefault="007B256B" w:rsidP="00732B27">
            <w:pPr>
              <w:jc w:val="center"/>
              <w:rPr>
                <w:b/>
                <w:bCs/>
              </w:rPr>
            </w:pPr>
            <w:r w:rsidRPr="00BB39FB">
              <w:rPr>
                <w:b/>
              </w:rPr>
              <w:t>Standard Segment</w:t>
            </w:r>
          </w:p>
        </w:tc>
        <w:tc>
          <w:tcPr>
            <w:tcW w:w="8455" w:type="dxa"/>
          </w:tcPr>
          <w:p w14:paraId="3A4C85EF" w14:textId="77777777" w:rsidR="007B256B" w:rsidRPr="00BB39FB" w:rsidRDefault="007B256B" w:rsidP="00732B27">
            <w:pPr>
              <w:jc w:val="center"/>
              <w:rPr>
                <w:b/>
              </w:rPr>
            </w:pPr>
            <w:r w:rsidRPr="00BB39FB">
              <w:rPr>
                <w:b/>
              </w:rPr>
              <w:t>Narrative Describing How the Institution Meets the Standard</w:t>
            </w:r>
          </w:p>
          <w:p w14:paraId="4C4D119D" w14:textId="24BAF213" w:rsidR="007B256B" w:rsidRDefault="007B256B" w:rsidP="00732B27">
            <w:pPr>
              <w:jc w:val="center"/>
              <w:rPr>
                <w:b/>
                <w:bCs/>
              </w:rPr>
            </w:pPr>
            <w:r w:rsidRPr="00BB39FB">
              <w:t>hyperlink to supporting documentation</w:t>
            </w:r>
          </w:p>
        </w:tc>
      </w:tr>
      <w:tr w:rsidR="007B256B" w14:paraId="12E08917" w14:textId="77777777" w:rsidTr="007B256B">
        <w:tc>
          <w:tcPr>
            <w:tcW w:w="4495" w:type="dxa"/>
          </w:tcPr>
          <w:p w14:paraId="5B2796DF" w14:textId="6CD3AF77" w:rsidR="007B256B" w:rsidRDefault="007B256B" w:rsidP="00732B27">
            <w:pPr>
              <w:rPr>
                <w:b/>
                <w:bCs/>
              </w:rPr>
            </w:pPr>
            <w:r w:rsidRPr="00BB39FB">
              <w:rPr>
                <w:bCs/>
                <w:color w:val="333333"/>
              </w:rPr>
              <w:t>The program provides opportunities for candidates to demonstrate their knowledge of information theory and digital literacy, including the nature, architecture, and cycle of information, technology resources and tools.</w:t>
            </w:r>
          </w:p>
        </w:tc>
        <w:tc>
          <w:tcPr>
            <w:tcW w:w="8455" w:type="dxa"/>
          </w:tcPr>
          <w:p w14:paraId="18D3DD61" w14:textId="77777777" w:rsidR="007B256B" w:rsidRDefault="007B256B" w:rsidP="00732B27">
            <w:pPr>
              <w:rPr>
                <w:b/>
                <w:bCs/>
              </w:rPr>
            </w:pPr>
          </w:p>
        </w:tc>
      </w:tr>
      <w:tr w:rsidR="007B256B" w14:paraId="7B45E94C" w14:textId="77777777" w:rsidTr="007B256B">
        <w:tc>
          <w:tcPr>
            <w:tcW w:w="4495" w:type="dxa"/>
          </w:tcPr>
          <w:p w14:paraId="4AF7E955" w14:textId="628C904F" w:rsidR="007B256B" w:rsidRDefault="007B256B" w:rsidP="00732B27">
            <w:pPr>
              <w:rPr>
                <w:b/>
                <w:bCs/>
              </w:rPr>
            </w:pPr>
            <w:r w:rsidRPr="006157CA">
              <w:rPr>
                <w:bCs/>
                <w:color w:val="333333"/>
              </w:rPr>
              <w:t xml:space="preserve">Candidates model information literacy: how to access, evaluate process, use, integrate, generate, and communicate information. Candidates demonstrate competency in </w:t>
            </w:r>
            <w:r w:rsidRPr="006157CA">
              <w:rPr>
                <w:bCs/>
                <w:color w:val="333333"/>
              </w:rPr>
              <w:t>trans literacy</w:t>
            </w:r>
            <w:r w:rsidRPr="006157CA">
              <w:rPr>
                <w:bCs/>
                <w:color w:val="333333"/>
              </w:rPr>
              <w:t>.</w:t>
            </w:r>
          </w:p>
        </w:tc>
        <w:tc>
          <w:tcPr>
            <w:tcW w:w="8455" w:type="dxa"/>
          </w:tcPr>
          <w:p w14:paraId="23BF41A4" w14:textId="77777777" w:rsidR="007B256B" w:rsidRDefault="007B256B" w:rsidP="00732B27">
            <w:pPr>
              <w:rPr>
                <w:b/>
                <w:bCs/>
              </w:rPr>
            </w:pPr>
          </w:p>
        </w:tc>
      </w:tr>
      <w:tr w:rsidR="007B256B" w14:paraId="5F1D8E11" w14:textId="77777777" w:rsidTr="007B256B">
        <w:tc>
          <w:tcPr>
            <w:tcW w:w="4495" w:type="dxa"/>
          </w:tcPr>
          <w:p w14:paraId="4413F5B4" w14:textId="20DB8289" w:rsidR="007B256B" w:rsidRDefault="007B256B" w:rsidP="00732B27">
            <w:pPr>
              <w:rPr>
                <w:b/>
                <w:bCs/>
              </w:rPr>
            </w:pPr>
            <w:r w:rsidRPr="006157CA">
              <w:rPr>
                <w:bCs/>
                <w:color w:val="333333"/>
              </w:rPr>
              <w:t>Candidates articulate</w:t>
            </w:r>
            <w:r>
              <w:rPr>
                <w:bCs/>
                <w:color w:val="333333"/>
              </w:rPr>
              <w:t xml:space="preserve"> </w:t>
            </w:r>
            <w:r w:rsidRPr="006157CA">
              <w:rPr>
                <w:bCs/>
                <w:color w:val="333333"/>
              </w:rPr>
              <w:t>how formats and communication channels impact information and how information and ideas are processed and transformed using digital tools.</w:t>
            </w:r>
          </w:p>
        </w:tc>
        <w:tc>
          <w:tcPr>
            <w:tcW w:w="8455" w:type="dxa"/>
          </w:tcPr>
          <w:p w14:paraId="4CC5E636" w14:textId="77777777" w:rsidR="007B256B" w:rsidRDefault="007B256B" w:rsidP="00732B27">
            <w:pPr>
              <w:rPr>
                <w:b/>
                <w:bCs/>
              </w:rPr>
            </w:pPr>
          </w:p>
        </w:tc>
      </w:tr>
      <w:tr w:rsidR="007B256B" w14:paraId="49E4386D" w14:textId="77777777" w:rsidTr="007B256B">
        <w:tc>
          <w:tcPr>
            <w:tcW w:w="4495" w:type="dxa"/>
          </w:tcPr>
          <w:p w14:paraId="0BE003F6" w14:textId="6DE29B58" w:rsidR="007B256B" w:rsidRDefault="007B256B" w:rsidP="00732B27">
            <w:pPr>
              <w:rPr>
                <w:b/>
                <w:bCs/>
              </w:rPr>
            </w:pPr>
            <w:r w:rsidRPr="006157CA">
              <w:rPr>
                <w:bCs/>
                <w:color w:val="333333"/>
              </w:rPr>
              <w:t>Candidates model and communicate ethical, legal and safe use of information and technology, including digital citizenship.</w:t>
            </w:r>
          </w:p>
        </w:tc>
        <w:tc>
          <w:tcPr>
            <w:tcW w:w="8455" w:type="dxa"/>
          </w:tcPr>
          <w:p w14:paraId="2C04A96B" w14:textId="77777777" w:rsidR="007B256B" w:rsidRDefault="007B256B" w:rsidP="00732B27">
            <w:pPr>
              <w:rPr>
                <w:b/>
                <w:bCs/>
              </w:rPr>
            </w:pPr>
          </w:p>
        </w:tc>
      </w:tr>
    </w:tbl>
    <w:p w14:paraId="0E92D0F0" w14:textId="66C8628D" w:rsidR="007B256B" w:rsidRPr="00D406BB" w:rsidRDefault="007B256B" w:rsidP="00D406BB">
      <w:pPr>
        <w:pStyle w:val="Heading3"/>
        <w:spacing w:before="240" w:after="120"/>
        <w:jc w:val="center"/>
        <w:rPr>
          <w:rFonts w:ascii="Times New Roman" w:hAnsi="Times New Roman" w:cs="Times New Roman"/>
          <w:b/>
          <w:bCs/>
          <w:color w:val="auto"/>
        </w:rPr>
      </w:pPr>
      <w:r w:rsidRPr="00D406BB">
        <w:rPr>
          <w:rFonts w:ascii="Times New Roman" w:hAnsi="Times New Roman" w:cs="Times New Roman"/>
          <w:b/>
          <w:bCs/>
          <w:color w:val="auto"/>
        </w:rPr>
        <w:t>Standard 11: Pedagogy of Information and Digital Literacy in Multiple Learning Environments</w:t>
      </w:r>
    </w:p>
    <w:tbl>
      <w:tblPr>
        <w:tblStyle w:val="TableGrid"/>
        <w:tblW w:w="0" w:type="auto"/>
        <w:tblLook w:val="04A0" w:firstRow="1" w:lastRow="0" w:firstColumn="1" w:lastColumn="0" w:noHBand="0" w:noVBand="1"/>
      </w:tblPr>
      <w:tblGrid>
        <w:gridCol w:w="4495"/>
        <w:gridCol w:w="8455"/>
      </w:tblGrid>
      <w:tr w:rsidR="007B256B" w14:paraId="6121905A" w14:textId="77777777" w:rsidTr="007B256B">
        <w:trPr>
          <w:cantSplit/>
          <w:tblHeader/>
        </w:trPr>
        <w:tc>
          <w:tcPr>
            <w:tcW w:w="4495" w:type="dxa"/>
          </w:tcPr>
          <w:p w14:paraId="0599CB8D" w14:textId="489A8803" w:rsidR="007B256B" w:rsidRDefault="007B256B" w:rsidP="00732B27">
            <w:pPr>
              <w:jc w:val="center"/>
              <w:rPr>
                <w:b/>
                <w:bCs/>
              </w:rPr>
            </w:pPr>
            <w:r w:rsidRPr="00BB39FB">
              <w:rPr>
                <w:b/>
              </w:rPr>
              <w:t>Standard Segment</w:t>
            </w:r>
          </w:p>
        </w:tc>
        <w:tc>
          <w:tcPr>
            <w:tcW w:w="8455" w:type="dxa"/>
          </w:tcPr>
          <w:p w14:paraId="6B60ADBC" w14:textId="77777777" w:rsidR="007B256B" w:rsidRPr="00BB39FB" w:rsidRDefault="007B256B" w:rsidP="00732B27">
            <w:pPr>
              <w:jc w:val="center"/>
              <w:rPr>
                <w:b/>
              </w:rPr>
            </w:pPr>
            <w:r w:rsidRPr="00BB39FB">
              <w:rPr>
                <w:b/>
              </w:rPr>
              <w:t>Narrative Describing How the Institution Meets the Standard</w:t>
            </w:r>
          </w:p>
          <w:p w14:paraId="782290FF" w14:textId="76F5EC8C" w:rsidR="007B256B" w:rsidRDefault="007B256B" w:rsidP="00732B27">
            <w:pPr>
              <w:jc w:val="center"/>
              <w:rPr>
                <w:b/>
                <w:bCs/>
              </w:rPr>
            </w:pPr>
            <w:r w:rsidRPr="00BB39FB">
              <w:t>hyperlink to supporting documentation</w:t>
            </w:r>
          </w:p>
        </w:tc>
      </w:tr>
      <w:tr w:rsidR="007B256B" w14:paraId="23CA7356" w14:textId="77777777" w:rsidTr="007B256B">
        <w:tc>
          <w:tcPr>
            <w:tcW w:w="4495" w:type="dxa"/>
          </w:tcPr>
          <w:p w14:paraId="5FABC780" w14:textId="224985AB" w:rsidR="007B256B" w:rsidRDefault="007B256B" w:rsidP="00732B27">
            <w:pPr>
              <w:rPr>
                <w:b/>
                <w:bCs/>
              </w:rPr>
            </w:pPr>
            <w:r w:rsidRPr="00BB39FB">
              <w:rPr>
                <w:bCs/>
                <w:color w:val="333333"/>
              </w:rPr>
              <w:t xml:space="preserve">The program provides opportunities for candidates, using both traditional and digital methods, to design and provide curriculum in information and digital literacy to enable </w:t>
            </w:r>
            <w:r w:rsidRPr="00BB39FB">
              <w:rPr>
                <w:bCs/>
                <w:color w:val="333333"/>
              </w:rPr>
              <w:lastRenderedPageBreak/>
              <w:t>students to process information purposefully, ethically and effectively.</w:t>
            </w:r>
          </w:p>
        </w:tc>
        <w:tc>
          <w:tcPr>
            <w:tcW w:w="8455" w:type="dxa"/>
          </w:tcPr>
          <w:p w14:paraId="5C116E89" w14:textId="77777777" w:rsidR="007B256B" w:rsidRDefault="007B256B" w:rsidP="00732B27">
            <w:pPr>
              <w:rPr>
                <w:b/>
                <w:bCs/>
              </w:rPr>
            </w:pPr>
          </w:p>
        </w:tc>
      </w:tr>
      <w:tr w:rsidR="007B256B" w14:paraId="6772BCAB" w14:textId="77777777" w:rsidTr="007B256B">
        <w:tc>
          <w:tcPr>
            <w:tcW w:w="4495" w:type="dxa"/>
          </w:tcPr>
          <w:p w14:paraId="28B75D7F" w14:textId="2AF2F87B" w:rsidR="007B256B" w:rsidRDefault="007B256B" w:rsidP="00732B27">
            <w:pPr>
              <w:rPr>
                <w:b/>
                <w:bCs/>
              </w:rPr>
            </w:pPr>
            <w:r w:rsidRPr="00BB39FB">
              <w:rPr>
                <w:bCs/>
                <w:color w:val="333333"/>
              </w:rPr>
              <w:t xml:space="preserve">Candidates assess student interactions and learning and develop interventions to optimize student learning.  </w:t>
            </w:r>
          </w:p>
        </w:tc>
        <w:tc>
          <w:tcPr>
            <w:tcW w:w="8455" w:type="dxa"/>
          </w:tcPr>
          <w:p w14:paraId="1D8A8DE8" w14:textId="77777777" w:rsidR="007B256B" w:rsidRDefault="007B256B" w:rsidP="00732B27">
            <w:pPr>
              <w:rPr>
                <w:b/>
                <w:bCs/>
              </w:rPr>
            </w:pPr>
          </w:p>
        </w:tc>
      </w:tr>
      <w:tr w:rsidR="007B256B" w14:paraId="49CE0FA1" w14:textId="77777777" w:rsidTr="007B256B">
        <w:tc>
          <w:tcPr>
            <w:tcW w:w="4495" w:type="dxa"/>
          </w:tcPr>
          <w:p w14:paraId="37BCDF96" w14:textId="7BC351F4" w:rsidR="007B256B" w:rsidRDefault="007B256B" w:rsidP="00732B27">
            <w:pPr>
              <w:tabs>
                <w:tab w:val="left" w:pos="301"/>
                <w:tab w:val="left" w:pos="1072"/>
              </w:tabs>
              <w:rPr>
                <w:b/>
                <w:bCs/>
              </w:rPr>
            </w:pPr>
            <w:r w:rsidRPr="00BB39FB">
              <w:rPr>
                <w:bCs/>
                <w:color w:val="333333"/>
              </w:rPr>
              <w:t>Candidates implement and evaluate developmentally appropriate content instruction, including different formats and venues (e.g., face-to-face</w:t>
            </w:r>
            <w:r w:rsidRPr="00BB39FB">
              <w:rPr>
                <w:b/>
                <w:bCs/>
                <w:color w:val="333333"/>
              </w:rPr>
              <w:t xml:space="preserve">, </w:t>
            </w:r>
            <w:r w:rsidRPr="00BB39FB">
              <w:rPr>
                <w:bCs/>
                <w:color w:val="333333"/>
              </w:rPr>
              <w:t xml:space="preserve">distance learning, and other digital environments) for diverse student populations. </w:t>
            </w:r>
          </w:p>
        </w:tc>
        <w:tc>
          <w:tcPr>
            <w:tcW w:w="8455" w:type="dxa"/>
          </w:tcPr>
          <w:p w14:paraId="63DA53CF" w14:textId="77777777" w:rsidR="007B256B" w:rsidRDefault="007B256B" w:rsidP="00732B27">
            <w:pPr>
              <w:rPr>
                <w:b/>
                <w:bCs/>
              </w:rPr>
            </w:pPr>
          </w:p>
        </w:tc>
      </w:tr>
    </w:tbl>
    <w:p w14:paraId="3079B0C9" w14:textId="77777777" w:rsidR="007B256B" w:rsidRPr="00AB5F98" w:rsidRDefault="007B256B" w:rsidP="00102F14">
      <w:pPr>
        <w:spacing w:before="240"/>
        <w:rPr>
          <w:b/>
          <w:bCs/>
        </w:rPr>
      </w:pPr>
    </w:p>
    <w:sectPr w:rsidR="007B256B" w:rsidRPr="00AB5F98" w:rsidSect="00306610">
      <w:footerReference w:type="default" r:id="rId6"/>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FB91C" w14:textId="77777777" w:rsidR="00E12BB1" w:rsidRPr="00515DD4" w:rsidRDefault="00E12BB1" w:rsidP="00515DD4">
      <w:r>
        <w:separator/>
      </w:r>
    </w:p>
  </w:endnote>
  <w:endnote w:type="continuationSeparator" w:id="0">
    <w:p w14:paraId="0D472D76" w14:textId="77777777" w:rsidR="00E12BB1" w:rsidRPr="00515DD4" w:rsidRDefault="00E12BB1" w:rsidP="0051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EBA77" w14:textId="77777777" w:rsidR="006E2688" w:rsidRPr="00515DD4" w:rsidRDefault="006E2688" w:rsidP="00515DD4">
    <w:pPr>
      <w:pStyle w:val="Footer"/>
      <w:jc w:val="center"/>
      <w:rPr>
        <w:i/>
        <w:sz w:val="18"/>
        <w:szCs w:val="18"/>
      </w:rPr>
    </w:pPr>
    <w:r w:rsidRPr="00515DD4">
      <w:rPr>
        <w:i/>
        <w:sz w:val="18"/>
        <w:szCs w:val="18"/>
      </w:rPr>
      <w:t>Teacher Librarian Services Credential and Special Class Authorization Program Standards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8DD65" w14:textId="77777777" w:rsidR="00E12BB1" w:rsidRPr="00515DD4" w:rsidRDefault="00E12BB1" w:rsidP="00515DD4">
      <w:r>
        <w:separator/>
      </w:r>
    </w:p>
  </w:footnote>
  <w:footnote w:type="continuationSeparator" w:id="0">
    <w:p w14:paraId="2DBBA076" w14:textId="77777777" w:rsidR="00E12BB1" w:rsidRPr="00515DD4" w:rsidRDefault="00E12BB1" w:rsidP="00515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CB"/>
    <w:rsid w:val="00080ECB"/>
    <w:rsid w:val="000B6662"/>
    <w:rsid w:val="00102F14"/>
    <w:rsid w:val="00124106"/>
    <w:rsid w:val="00194AF8"/>
    <w:rsid w:val="00206E81"/>
    <w:rsid w:val="002128CA"/>
    <w:rsid w:val="002C2514"/>
    <w:rsid w:val="002E742A"/>
    <w:rsid w:val="003065E2"/>
    <w:rsid w:val="00306610"/>
    <w:rsid w:val="003B7930"/>
    <w:rsid w:val="00412901"/>
    <w:rsid w:val="004A5CC0"/>
    <w:rsid w:val="004C1F15"/>
    <w:rsid w:val="00515DD4"/>
    <w:rsid w:val="00522596"/>
    <w:rsid w:val="00687B05"/>
    <w:rsid w:val="006E2688"/>
    <w:rsid w:val="00732B27"/>
    <w:rsid w:val="00741EF3"/>
    <w:rsid w:val="007432D3"/>
    <w:rsid w:val="007A2106"/>
    <w:rsid w:val="007B256B"/>
    <w:rsid w:val="007D7601"/>
    <w:rsid w:val="007F32BF"/>
    <w:rsid w:val="008A1B8F"/>
    <w:rsid w:val="00946FD3"/>
    <w:rsid w:val="00A15FFC"/>
    <w:rsid w:val="00A213DA"/>
    <w:rsid w:val="00A6010B"/>
    <w:rsid w:val="00AA5428"/>
    <w:rsid w:val="00AB5F98"/>
    <w:rsid w:val="00AF3CEA"/>
    <w:rsid w:val="00AF3ECC"/>
    <w:rsid w:val="00B7716C"/>
    <w:rsid w:val="00BA1D6A"/>
    <w:rsid w:val="00BA728E"/>
    <w:rsid w:val="00BB39FB"/>
    <w:rsid w:val="00BE168C"/>
    <w:rsid w:val="00C561C6"/>
    <w:rsid w:val="00CE6494"/>
    <w:rsid w:val="00CF0D72"/>
    <w:rsid w:val="00CF22DC"/>
    <w:rsid w:val="00D406BB"/>
    <w:rsid w:val="00D45C06"/>
    <w:rsid w:val="00DD287B"/>
    <w:rsid w:val="00E12BB1"/>
    <w:rsid w:val="00F40BFC"/>
    <w:rsid w:val="00F51A70"/>
    <w:rsid w:val="00F773C5"/>
    <w:rsid w:val="00F77417"/>
    <w:rsid w:val="00F81CC8"/>
    <w:rsid w:val="00F96D57"/>
    <w:rsid w:val="00FA2015"/>
    <w:rsid w:val="00FA563D"/>
    <w:rsid w:val="00FB2928"/>
    <w:rsid w:val="00FB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2905C"/>
  <w15:chartTrackingRefBased/>
  <w15:docId w15:val="{A9430B7F-A3F1-4D8A-8AA9-93D34F2D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ECB"/>
    <w:rPr>
      <w:rFonts w:eastAsia="ヒラギノ角ゴ Pro W3"/>
      <w:color w:val="000000"/>
      <w:sz w:val="24"/>
      <w:szCs w:val="24"/>
    </w:rPr>
  </w:style>
  <w:style w:type="paragraph" w:styleId="Heading1">
    <w:name w:val="heading 1"/>
    <w:basedOn w:val="Header"/>
    <w:next w:val="Normal"/>
    <w:link w:val="Heading1Char"/>
    <w:qFormat/>
    <w:rsid w:val="008A1B8F"/>
    <w:pPr>
      <w:spacing w:before="2160"/>
      <w:jc w:val="center"/>
      <w:outlineLvl w:val="0"/>
    </w:pPr>
    <w:rPr>
      <w:b/>
      <w:color w:val="0070C0"/>
      <w:sz w:val="28"/>
      <w:szCs w:val="28"/>
    </w:rPr>
  </w:style>
  <w:style w:type="paragraph" w:styleId="Heading2">
    <w:name w:val="heading 2"/>
    <w:basedOn w:val="Normal"/>
    <w:next w:val="Normal"/>
    <w:link w:val="Heading2Char"/>
    <w:unhideWhenUsed/>
    <w:qFormat/>
    <w:rsid w:val="00AB5F9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D406B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80ECB"/>
    <w:rPr>
      <w:rFonts w:ascii="Consolas" w:eastAsia="Calibri" w:hAnsi="Consolas"/>
      <w:color w:val="auto"/>
      <w:sz w:val="21"/>
      <w:szCs w:val="21"/>
    </w:rPr>
  </w:style>
  <w:style w:type="character" w:customStyle="1" w:styleId="PlainTextChar">
    <w:name w:val="Plain Text Char"/>
    <w:link w:val="PlainText"/>
    <w:uiPriority w:val="99"/>
    <w:rsid w:val="00080ECB"/>
    <w:rPr>
      <w:rFonts w:ascii="Consolas" w:eastAsia="Calibri" w:hAnsi="Consolas"/>
      <w:sz w:val="21"/>
      <w:szCs w:val="21"/>
    </w:rPr>
  </w:style>
  <w:style w:type="table" w:styleId="TableGrid">
    <w:name w:val="Table Grid"/>
    <w:basedOn w:val="TableNormal"/>
    <w:rsid w:val="00080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15DD4"/>
    <w:pPr>
      <w:tabs>
        <w:tab w:val="center" w:pos="4680"/>
        <w:tab w:val="right" w:pos="9360"/>
      </w:tabs>
    </w:pPr>
  </w:style>
  <w:style w:type="character" w:customStyle="1" w:styleId="HeaderChar">
    <w:name w:val="Header Char"/>
    <w:link w:val="Header"/>
    <w:uiPriority w:val="99"/>
    <w:rsid w:val="00515DD4"/>
    <w:rPr>
      <w:rFonts w:eastAsia="ヒラギノ角ゴ Pro W3"/>
      <w:color w:val="000000"/>
      <w:sz w:val="24"/>
      <w:szCs w:val="24"/>
    </w:rPr>
  </w:style>
  <w:style w:type="paragraph" w:styleId="Footer">
    <w:name w:val="footer"/>
    <w:basedOn w:val="Normal"/>
    <w:link w:val="FooterChar"/>
    <w:rsid w:val="00515DD4"/>
    <w:pPr>
      <w:tabs>
        <w:tab w:val="center" w:pos="4680"/>
        <w:tab w:val="right" w:pos="9360"/>
      </w:tabs>
    </w:pPr>
  </w:style>
  <w:style w:type="character" w:customStyle="1" w:styleId="FooterChar">
    <w:name w:val="Footer Char"/>
    <w:link w:val="Footer"/>
    <w:rsid w:val="00515DD4"/>
    <w:rPr>
      <w:rFonts w:eastAsia="ヒラギノ角ゴ Pro W3"/>
      <w:color w:val="000000"/>
      <w:sz w:val="24"/>
      <w:szCs w:val="24"/>
    </w:rPr>
  </w:style>
  <w:style w:type="character" w:styleId="CommentReference">
    <w:name w:val="annotation reference"/>
    <w:uiPriority w:val="99"/>
    <w:unhideWhenUsed/>
    <w:rsid w:val="00BA1D6A"/>
    <w:rPr>
      <w:sz w:val="16"/>
      <w:szCs w:val="16"/>
    </w:rPr>
  </w:style>
  <w:style w:type="paragraph" w:styleId="CommentText">
    <w:name w:val="annotation text"/>
    <w:basedOn w:val="Normal"/>
    <w:link w:val="CommentTextChar"/>
    <w:rsid w:val="00BA1D6A"/>
    <w:rPr>
      <w:sz w:val="20"/>
      <w:szCs w:val="20"/>
    </w:rPr>
  </w:style>
  <w:style w:type="character" w:customStyle="1" w:styleId="CommentTextChar">
    <w:name w:val="Comment Text Char"/>
    <w:link w:val="CommentText"/>
    <w:rsid w:val="00BA1D6A"/>
    <w:rPr>
      <w:rFonts w:eastAsia="ヒラギノ角ゴ Pro W3"/>
      <w:color w:val="000000"/>
    </w:rPr>
  </w:style>
  <w:style w:type="paragraph" w:styleId="BalloonText">
    <w:name w:val="Balloon Text"/>
    <w:basedOn w:val="Normal"/>
    <w:link w:val="BalloonTextChar"/>
    <w:rsid w:val="00BA1D6A"/>
    <w:rPr>
      <w:rFonts w:ascii="Tahoma" w:hAnsi="Tahoma" w:cs="Tahoma"/>
      <w:sz w:val="16"/>
      <w:szCs w:val="16"/>
    </w:rPr>
  </w:style>
  <w:style w:type="character" w:customStyle="1" w:styleId="BalloonTextChar">
    <w:name w:val="Balloon Text Char"/>
    <w:link w:val="BalloonText"/>
    <w:rsid w:val="00BA1D6A"/>
    <w:rPr>
      <w:rFonts w:ascii="Tahoma" w:eastAsia="ヒラギノ角ゴ Pro W3" w:hAnsi="Tahoma" w:cs="Tahoma"/>
      <w:color w:val="000000"/>
      <w:sz w:val="16"/>
      <w:szCs w:val="16"/>
    </w:rPr>
  </w:style>
  <w:style w:type="character" w:customStyle="1" w:styleId="Heading1Char">
    <w:name w:val="Heading 1 Char"/>
    <w:basedOn w:val="DefaultParagraphFont"/>
    <w:link w:val="Heading1"/>
    <w:rsid w:val="008A1B8F"/>
    <w:rPr>
      <w:rFonts w:eastAsia="ヒラギノ角ゴ Pro W3"/>
      <w:b/>
      <w:color w:val="0070C0"/>
      <w:sz w:val="28"/>
      <w:szCs w:val="28"/>
    </w:rPr>
  </w:style>
  <w:style w:type="character" w:styleId="PlaceholderText">
    <w:name w:val="Placeholder Text"/>
    <w:basedOn w:val="DefaultParagraphFont"/>
    <w:uiPriority w:val="99"/>
    <w:semiHidden/>
    <w:rsid w:val="008A1B8F"/>
    <w:rPr>
      <w:color w:val="808080"/>
    </w:rPr>
  </w:style>
  <w:style w:type="character" w:customStyle="1" w:styleId="Heading2Char">
    <w:name w:val="Heading 2 Char"/>
    <w:basedOn w:val="DefaultParagraphFont"/>
    <w:link w:val="Heading2"/>
    <w:rsid w:val="00AB5F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D406B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3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Segmented Teacher Librarian Services Credential and Special Class Authorization Narrative Template</vt:lpstr>
    </vt:vector>
  </TitlesOfParts>
  <Company>CTC</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Segmented Teacher Librarian Services Credential and Special Class Authorization Narrative Template</dc:title>
  <dc:subject/>
  <dc:creator>gmohler</dc:creator>
  <cp:keywords/>
  <cp:lastModifiedBy>Sayas, Purity Rose</cp:lastModifiedBy>
  <cp:revision>24</cp:revision>
  <dcterms:created xsi:type="dcterms:W3CDTF">2020-12-08T18:34:00Z</dcterms:created>
  <dcterms:modified xsi:type="dcterms:W3CDTF">2020-12-09T21:34:00Z</dcterms:modified>
</cp:coreProperties>
</file>